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251" w:rsidRDefault="00610B53">
      <w:pPr>
        <w:spacing w:before="532"/>
        <w:jc w:val="center"/>
      </w:pPr>
      <w:r>
        <w:rPr>
          <w:rFonts w:ascii="Arial Unicode MS" w:eastAsia="Arial Unicode MS" w:hAnsi="Arial Unicode MS" w:cs="Arial Unicode MS"/>
          <w:color w:val="000000"/>
          <w:sz w:val="40"/>
        </w:rPr>
        <w:t>9</w:t>
      </w:r>
    </w:p>
    <w:p w:rsidR="00EE3251" w:rsidRDefault="00610B53">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w:t>
            </w:r>
          </w:p>
        </w:tc>
        <w:tc>
          <w:tcPr>
            <w:tcW w:w="4800" w:type="pct"/>
          </w:tcPr>
          <w:p w:rsidR="00EE3251" w:rsidRDefault="00610B53">
            <w:pPr>
              <w:keepNext/>
              <w:keepLines/>
            </w:pPr>
            <w:r>
              <w:rPr>
                <w:rFonts w:ascii="Arial Unicode MS" w:eastAsia="Arial Unicode MS" w:hAnsi="Arial Unicode MS" w:cs="Arial Unicode MS"/>
                <w:color w:val="000000"/>
              </w:rPr>
              <w:t>In order to make a decision with a decision tree: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83"/>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 xml:space="preserve">one starts furthest out in time to make the first </w:t>
                  </w:r>
                  <w:r>
                    <w:rPr>
                      <w:rFonts w:ascii="Arial Unicode MS" w:eastAsia="Arial Unicode MS" w:hAnsi="Arial Unicode MS" w:cs="Arial Unicode MS"/>
                      <w:color w:val="000000"/>
                    </w:rPr>
                    <w:t>decision.</w:t>
                  </w:r>
                </w:p>
              </w:tc>
            </w:tr>
          </w:tbl>
          <w:p w:rsidR="00EE3251" w:rsidRDefault="00EE3251">
            <w:pPr>
              <w:keepNext/>
              <w:keepLines/>
              <w:rPr>
                <w:sz w:val="2"/>
              </w:rPr>
            </w:pPr>
          </w:p>
          <w:tbl>
            <w:tblPr>
              <w:tblW w:w="0" w:type="auto"/>
              <w:tblCellMar>
                <w:left w:w="0" w:type="dxa"/>
                <w:right w:w="0" w:type="dxa"/>
              </w:tblCellMar>
              <w:tblLook w:val="04A0"/>
            </w:tblPr>
            <w:tblGrid>
              <w:gridCol w:w="294"/>
              <w:gridCol w:w="2749"/>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One must begin at time 0.</w:t>
                  </w:r>
                </w:p>
              </w:tc>
            </w:tr>
          </w:tbl>
          <w:p w:rsidR="00EE3251" w:rsidRDefault="00EE3251">
            <w:pPr>
              <w:keepNext/>
              <w:keepLines/>
              <w:rPr>
                <w:sz w:val="2"/>
              </w:rPr>
            </w:pPr>
          </w:p>
          <w:tbl>
            <w:tblPr>
              <w:tblW w:w="0" w:type="auto"/>
              <w:tblCellMar>
                <w:left w:w="0" w:type="dxa"/>
                <w:right w:w="0" w:type="dxa"/>
              </w:tblCellMar>
              <w:tblLook w:val="04A0"/>
            </w:tblPr>
            <w:tblGrid>
              <w:gridCol w:w="307"/>
              <w:gridCol w:w="4257"/>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Any path can be taken to get to the end.</w:t>
                  </w:r>
                </w:p>
              </w:tc>
            </w:tr>
          </w:tbl>
          <w:p w:rsidR="00EE3251" w:rsidRDefault="00EE3251">
            <w:pPr>
              <w:keepNext/>
              <w:keepLines/>
              <w:rPr>
                <w:sz w:val="2"/>
              </w:rPr>
            </w:pPr>
          </w:p>
          <w:tbl>
            <w:tblPr>
              <w:tblW w:w="0" w:type="auto"/>
              <w:tblCellMar>
                <w:left w:w="0" w:type="dxa"/>
                <w:right w:w="0" w:type="dxa"/>
              </w:tblCellMar>
              <w:tblLook w:val="04A0"/>
            </w:tblPr>
            <w:tblGrid>
              <w:gridCol w:w="307"/>
              <w:gridCol w:w="5471"/>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Any path can be taken to get back to the beginning.</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2.</w:t>
            </w:r>
          </w:p>
        </w:tc>
        <w:tc>
          <w:tcPr>
            <w:tcW w:w="4800" w:type="pct"/>
          </w:tcPr>
          <w:p w:rsidR="00EE3251" w:rsidRDefault="00610B53">
            <w:pPr>
              <w:keepNext/>
              <w:keepLines/>
            </w:pPr>
            <w:r>
              <w:rPr>
                <w:rFonts w:ascii="Arial Unicode MS" w:eastAsia="Arial Unicode MS" w:hAnsi="Arial Unicode MS" w:cs="Arial Unicode MS"/>
                <w:color w:val="000000"/>
              </w:rPr>
              <w:t xml:space="preserve">At stage 2 of the decision tree it shows that if a project is successful the payoff will be $53,000 </w:t>
            </w:r>
            <w:r>
              <w:rPr>
                <w:rFonts w:ascii="Arial Unicode MS" w:eastAsia="Arial Unicode MS" w:hAnsi="Arial Unicode MS" w:cs="Arial Unicode MS"/>
                <w:color w:val="000000"/>
              </w:rPr>
              <w:t>with a 2/3 chance of occurrence. There is also the 1/3 chance of a -$24,000 payoff. The cost of getting to stage 2 (1 year out) is $44,000. The cost of capital is 15%. What is the NPV of the project at stage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48"/>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-$13,275</w:t>
                  </w:r>
                </w:p>
              </w:tc>
            </w:tr>
          </w:tbl>
          <w:p w:rsidR="00EE3251" w:rsidRDefault="00EE3251">
            <w:pPr>
              <w:keepNext/>
              <w:keepLines/>
              <w:rPr>
                <w:sz w:val="2"/>
              </w:rPr>
            </w:pPr>
          </w:p>
          <w:tbl>
            <w:tblPr>
              <w:tblW w:w="0" w:type="auto"/>
              <w:tblCellMar>
                <w:left w:w="0" w:type="dxa"/>
                <w:right w:w="0" w:type="dxa"/>
              </w:tblCellMar>
              <w:tblLook w:val="04A0"/>
            </w:tblPr>
            <w:tblGrid>
              <w:gridCol w:w="294"/>
              <w:gridCol w:w="948"/>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-$20,232</w:t>
                  </w:r>
                </w:p>
              </w:tc>
            </w:tr>
          </w:tbl>
          <w:p w:rsidR="00EE3251" w:rsidRDefault="00EE3251">
            <w:pPr>
              <w:keepNext/>
              <w:keepLines/>
              <w:rPr>
                <w:sz w:val="2"/>
              </w:rPr>
            </w:pPr>
          </w:p>
          <w:tbl>
            <w:tblPr>
              <w:tblW w:w="0" w:type="auto"/>
              <w:tblCellMar>
                <w:left w:w="0" w:type="dxa"/>
                <w:right w:w="0" w:type="dxa"/>
              </w:tblCellMar>
              <w:tblLook w:val="04A0"/>
            </w:tblPr>
            <w:tblGrid>
              <w:gridCol w:w="307"/>
              <w:gridCol w:w="735"/>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$2,087</w:t>
                  </w:r>
                </w:p>
              </w:tc>
            </w:tr>
          </w:tbl>
          <w:p w:rsidR="00EE3251" w:rsidRDefault="00EE3251">
            <w:pPr>
              <w:keepNext/>
              <w:keepLines/>
              <w:rPr>
                <w:sz w:val="2"/>
              </w:rPr>
            </w:pPr>
          </w:p>
          <w:tbl>
            <w:tblPr>
              <w:tblW w:w="0" w:type="auto"/>
              <w:tblCellMar>
                <w:left w:w="0" w:type="dxa"/>
                <w:right w:w="0" w:type="dxa"/>
              </w:tblCellMar>
              <w:tblLook w:val="04A0"/>
            </w:tblPr>
            <w:tblGrid>
              <w:gridCol w:w="307"/>
              <w:gridCol w:w="735"/>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$7,536</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3.</w:t>
            </w:r>
          </w:p>
        </w:tc>
        <w:tc>
          <w:tcPr>
            <w:tcW w:w="4800" w:type="pct"/>
          </w:tcPr>
          <w:p w:rsidR="00EE3251" w:rsidRDefault="00610B53">
            <w:pPr>
              <w:keepNext/>
              <w:keepLines/>
            </w:pPr>
            <w:r>
              <w:rPr>
                <w:rFonts w:ascii="Arial Unicode MS" w:eastAsia="Arial Unicode MS" w:hAnsi="Arial Unicode MS" w:cs="Arial Unicode MS"/>
                <w:color w:val="000000"/>
              </w:rPr>
              <w:t>In a decision tree, the NPV to make the yes/no decision is dependent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296"/>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only the cashflows from successful path.</w:t>
                  </w:r>
                </w:p>
              </w:tc>
            </w:tr>
          </w:tbl>
          <w:p w:rsidR="00EE3251" w:rsidRDefault="00EE3251">
            <w:pPr>
              <w:keepNext/>
              <w:keepLines/>
              <w:rPr>
                <w:sz w:val="2"/>
              </w:rPr>
            </w:pPr>
          </w:p>
          <w:tbl>
            <w:tblPr>
              <w:tblW w:w="0" w:type="auto"/>
              <w:tblCellMar>
                <w:left w:w="0" w:type="dxa"/>
                <w:right w:w="0" w:type="dxa"/>
              </w:tblCellMar>
              <w:tblLook w:val="04A0"/>
            </w:tblPr>
            <w:tblGrid>
              <w:gridCol w:w="294"/>
              <w:gridCol w:w="5271"/>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on the path where the probabilities add up to one.</w:t>
                  </w:r>
                </w:p>
              </w:tc>
            </w:tr>
          </w:tbl>
          <w:p w:rsidR="00EE3251" w:rsidRDefault="00EE3251">
            <w:pPr>
              <w:keepNext/>
              <w:keepLines/>
              <w:rPr>
                <w:sz w:val="2"/>
              </w:rPr>
            </w:pPr>
          </w:p>
          <w:tbl>
            <w:tblPr>
              <w:tblW w:w="0" w:type="auto"/>
              <w:tblCellMar>
                <w:left w:w="0" w:type="dxa"/>
                <w:right w:w="0" w:type="dxa"/>
              </w:tblCellMar>
              <w:tblLook w:val="04A0"/>
            </w:tblPr>
            <w:tblGrid>
              <w:gridCol w:w="307"/>
              <w:gridCol w:w="3242"/>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all cashflows and probabilities.</w:t>
                  </w:r>
                </w:p>
              </w:tc>
            </w:tr>
          </w:tbl>
          <w:p w:rsidR="00EE3251" w:rsidRDefault="00EE3251">
            <w:pPr>
              <w:keepNext/>
              <w:keepLines/>
              <w:rPr>
                <w:sz w:val="2"/>
              </w:rPr>
            </w:pPr>
          </w:p>
          <w:tbl>
            <w:tblPr>
              <w:tblW w:w="0" w:type="auto"/>
              <w:tblCellMar>
                <w:left w:w="0" w:type="dxa"/>
                <w:right w:w="0" w:type="dxa"/>
              </w:tblCellMar>
              <w:tblLook w:val="04A0"/>
            </w:tblPr>
            <w:tblGrid>
              <w:gridCol w:w="307"/>
              <w:gridCol w:w="6231"/>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 xml:space="preserve">only the </w:t>
                  </w:r>
                  <w:r>
                    <w:rPr>
                      <w:rFonts w:ascii="Arial Unicode MS" w:eastAsia="Arial Unicode MS" w:hAnsi="Arial Unicode MS" w:cs="Arial Unicode MS"/>
                      <w:color w:val="000000"/>
                    </w:rPr>
                    <w:t>cashflows and probabilities of the successful path.</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4.</w:t>
            </w:r>
          </w:p>
        </w:tc>
        <w:tc>
          <w:tcPr>
            <w:tcW w:w="4800" w:type="pct"/>
          </w:tcPr>
          <w:p w:rsidR="00EE3251" w:rsidRDefault="00610B53">
            <w:pPr>
              <w:keepNext/>
              <w:keepLines/>
            </w:pPr>
            <w:r>
              <w:rPr>
                <w:rFonts w:ascii="Arial Unicode MS" w:eastAsia="Arial Unicode MS" w:hAnsi="Arial Unicode MS" w:cs="Arial Unicode MS"/>
                <w:color w:val="000000"/>
              </w:rPr>
              <w:t>Sensitivity analysis helps you determine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298"/>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range of possible outcomes given possible ranges for every variable.</w:t>
                  </w:r>
                </w:p>
              </w:tc>
            </w:tr>
          </w:tbl>
          <w:p w:rsidR="00EE3251" w:rsidRDefault="00EE3251">
            <w:pPr>
              <w:keepNext/>
              <w:keepLines/>
              <w:rPr>
                <w:sz w:val="2"/>
              </w:rPr>
            </w:pPr>
          </w:p>
          <w:tbl>
            <w:tblPr>
              <w:tblW w:w="0" w:type="auto"/>
              <w:tblCellMar>
                <w:left w:w="0" w:type="dxa"/>
                <w:right w:w="0" w:type="dxa"/>
              </w:tblCellMar>
              <w:tblLook w:val="04A0"/>
            </w:tblPr>
            <w:tblGrid>
              <w:gridCol w:w="294"/>
              <w:gridCol w:w="8085"/>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degree to which the net present value reacts to changes in a single</w:t>
                  </w:r>
                  <w:r>
                    <w:rPr>
                      <w:rFonts w:ascii="Arial Unicode MS" w:eastAsia="Arial Unicode MS" w:hAnsi="Arial Unicode MS" w:cs="Arial Unicode MS"/>
                      <w:color w:val="000000"/>
                    </w:rPr>
                    <w:t xml:space="preserve"> variable.</w:t>
                  </w:r>
                </w:p>
              </w:tc>
            </w:tr>
          </w:tbl>
          <w:p w:rsidR="00EE3251" w:rsidRDefault="00EE3251">
            <w:pPr>
              <w:keepNext/>
              <w:keepLines/>
              <w:rPr>
                <w:sz w:val="2"/>
              </w:rPr>
            </w:pPr>
          </w:p>
          <w:tbl>
            <w:tblPr>
              <w:tblW w:w="0" w:type="auto"/>
              <w:tblCellMar>
                <w:left w:w="0" w:type="dxa"/>
                <w:right w:w="0" w:type="dxa"/>
              </w:tblCellMar>
              <w:tblLook w:val="04A0"/>
            </w:tblPr>
            <w:tblGrid>
              <w:gridCol w:w="307"/>
              <w:gridCol w:w="7005"/>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net present value given the best and the worst possible situations.</w:t>
                  </w:r>
                </w:p>
              </w:tc>
            </w:tr>
          </w:tbl>
          <w:p w:rsidR="00EE3251" w:rsidRDefault="00EE3251">
            <w:pPr>
              <w:keepNext/>
              <w:keepLines/>
              <w:rPr>
                <w:sz w:val="2"/>
              </w:rPr>
            </w:pPr>
          </w:p>
          <w:tbl>
            <w:tblPr>
              <w:tblW w:w="0" w:type="auto"/>
              <w:tblCellMar>
                <w:left w:w="0" w:type="dxa"/>
                <w:right w:w="0" w:type="dxa"/>
              </w:tblCellMar>
              <w:tblLook w:val="04A0"/>
            </w:tblPr>
            <w:tblGrid>
              <w:gridCol w:w="307"/>
              <w:gridCol w:w="5910"/>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degree to which a project is reliant upon the fixed costs.</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5.</w:t>
            </w:r>
          </w:p>
        </w:tc>
        <w:tc>
          <w:tcPr>
            <w:tcW w:w="4800" w:type="pct"/>
          </w:tcPr>
          <w:p w:rsidR="00EE3251" w:rsidRDefault="00610B53">
            <w:pPr>
              <w:keepNext/>
              <w:keepLines/>
            </w:pPr>
            <w:r>
              <w:rPr>
                <w:rFonts w:ascii="Arial Unicode MS" w:eastAsia="Arial Unicode MS" w:hAnsi="Arial Unicode MS" w:cs="Arial Unicode MS"/>
                <w:color w:val="000000"/>
              </w:rPr>
              <w:t>As the degree of sensitivity of a project to a single variable rises,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76"/>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 xml:space="preserve">lower the </w:t>
                  </w:r>
                  <w:r>
                    <w:rPr>
                      <w:rFonts w:ascii="Arial Unicode MS" w:eastAsia="Arial Unicode MS" w:hAnsi="Arial Unicode MS" w:cs="Arial Unicode MS"/>
                      <w:color w:val="000000"/>
                    </w:rPr>
                    <w:t>forecasting risk of the project.</w:t>
                  </w:r>
                </w:p>
              </w:tc>
            </w:tr>
          </w:tbl>
          <w:p w:rsidR="00EE3251" w:rsidRDefault="00EE3251">
            <w:pPr>
              <w:keepNext/>
              <w:keepLines/>
              <w:rPr>
                <w:sz w:val="2"/>
              </w:rPr>
            </w:pPr>
          </w:p>
          <w:tbl>
            <w:tblPr>
              <w:tblW w:w="0" w:type="auto"/>
              <w:tblCellMar>
                <w:left w:w="0" w:type="dxa"/>
                <w:right w:w="0" w:type="dxa"/>
              </w:tblCellMar>
              <w:tblLook w:val="04A0"/>
            </w:tblPr>
            <w:tblGrid>
              <w:gridCol w:w="294"/>
              <w:gridCol w:w="9406"/>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smaller the range of possible outcomes given a pre-defined range of values for the input.</w:t>
                  </w:r>
                </w:p>
              </w:tc>
            </w:tr>
          </w:tbl>
          <w:p w:rsidR="00EE3251" w:rsidRDefault="00EE3251">
            <w:pPr>
              <w:keepNext/>
              <w:keepLines/>
              <w:rPr>
                <w:sz w:val="2"/>
              </w:rPr>
            </w:pPr>
          </w:p>
          <w:tbl>
            <w:tblPr>
              <w:tblW w:w="0" w:type="auto"/>
              <w:tblCellMar>
                <w:left w:w="0" w:type="dxa"/>
                <w:right w:w="0" w:type="dxa"/>
              </w:tblCellMar>
              <w:tblLook w:val="04A0"/>
            </w:tblPr>
            <w:tblGrid>
              <w:gridCol w:w="307"/>
              <w:gridCol w:w="10061"/>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more attention management should place on accurately forecasting the future value of that variable.</w:t>
                  </w:r>
                </w:p>
              </w:tc>
            </w:tr>
          </w:tbl>
          <w:p w:rsidR="00EE3251" w:rsidRDefault="00EE3251">
            <w:pPr>
              <w:keepNext/>
              <w:keepLines/>
              <w:rPr>
                <w:sz w:val="2"/>
              </w:rPr>
            </w:pPr>
          </w:p>
          <w:tbl>
            <w:tblPr>
              <w:tblW w:w="0" w:type="auto"/>
              <w:tblCellMar>
                <w:left w:w="0" w:type="dxa"/>
                <w:right w:w="0" w:type="dxa"/>
              </w:tblCellMar>
              <w:tblLook w:val="04A0"/>
            </w:tblPr>
            <w:tblGrid>
              <w:gridCol w:w="307"/>
              <w:gridCol w:w="5216"/>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 xml:space="preserve">lower the </w:t>
                  </w:r>
                  <w:r>
                    <w:rPr>
                      <w:rFonts w:ascii="Arial Unicode MS" w:eastAsia="Arial Unicode MS" w:hAnsi="Arial Unicode MS" w:cs="Arial Unicode MS"/>
                      <w:color w:val="000000"/>
                    </w:rPr>
                    <w:t>maximum potential value of the project.</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6.</w:t>
            </w:r>
          </w:p>
        </w:tc>
        <w:tc>
          <w:tcPr>
            <w:tcW w:w="4800" w:type="pct"/>
          </w:tcPr>
          <w:p w:rsidR="00EE3251" w:rsidRDefault="00610B53">
            <w:pPr>
              <w:keepNext/>
              <w:keepLines/>
            </w:pPr>
            <w:r>
              <w:rPr>
                <w:rFonts w:ascii="Arial Unicode MS" w:eastAsia="Arial Unicode MS" w:hAnsi="Arial Unicode MS" w:cs="Arial Unicode MS"/>
                <w:color w:val="000000"/>
              </w:rPr>
              <w:t>Fixed production costs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22"/>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directly related to labor costs.</w:t>
                  </w:r>
                </w:p>
              </w:tc>
            </w:tr>
          </w:tbl>
          <w:p w:rsidR="00EE3251" w:rsidRDefault="00EE3251">
            <w:pPr>
              <w:keepNext/>
              <w:keepLines/>
              <w:rPr>
                <w:sz w:val="2"/>
              </w:rPr>
            </w:pPr>
          </w:p>
          <w:tbl>
            <w:tblPr>
              <w:tblW w:w="0" w:type="auto"/>
              <w:tblCellMar>
                <w:left w:w="0" w:type="dxa"/>
                <w:right w:w="0" w:type="dxa"/>
              </w:tblCellMar>
              <w:tblLook w:val="04A0"/>
            </w:tblPr>
            <w:tblGrid>
              <w:gridCol w:w="294"/>
              <w:gridCol w:w="3615"/>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measured as cost per unit of time.</w:t>
                  </w:r>
                </w:p>
              </w:tc>
            </w:tr>
          </w:tbl>
          <w:p w:rsidR="00EE3251" w:rsidRDefault="00EE3251">
            <w:pPr>
              <w:keepNext/>
              <w:keepLines/>
              <w:rPr>
                <w:sz w:val="2"/>
              </w:rPr>
            </w:pPr>
          </w:p>
          <w:tbl>
            <w:tblPr>
              <w:tblW w:w="0" w:type="auto"/>
              <w:tblCellMar>
                <w:left w:w="0" w:type="dxa"/>
                <w:right w:w="0" w:type="dxa"/>
              </w:tblCellMar>
              <w:tblLook w:val="04A0"/>
            </w:tblPr>
            <w:tblGrid>
              <w:gridCol w:w="307"/>
              <w:gridCol w:w="3829"/>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measured as cost per unit of output.</w:t>
                  </w:r>
                </w:p>
              </w:tc>
            </w:tr>
          </w:tbl>
          <w:p w:rsidR="00EE3251" w:rsidRDefault="00EE3251">
            <w:pPr>
              <w:keepNext/>
              <w:keepLines/>
              <w:rPr>
                <w:sz w:val="2"/>
              </w:rPr>
            </w:pPr>
          </w:p>
          <w:tbl>
            <w:tblPr>
              <w:tblW w:w="0" w:type="auto"/>
              <w:tblCellMar>
                <w:left w:w="0" w:type="dxa"/>
                <w:right w:w="0" w:type="dxa"/>
              </w:tblCellMar>
              <w:tblLook w:val="04A0"/>
            </w:tblPr>
            <w:tblGrid>
              <w:gridCol w:w="307"/>
              <w:gridCol w:w="6085"/>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 xml:space="preserve">dependent on the amount of goods or services </w:t>
                  </w:r>
                  <w:r>
                    <w:rPr>
                      <w:rFonts w:ascii="Arial Unicode MS" w:eastAsia="Arial Unicode MS" w:hAnsi="Arial Unicode MS" w:cs="Arial Unicode MS"/>
                      <w:color w:val="000000"/>
                    </w:rPr>
                    <w:t>produced.</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7.</w:t>
            </w:r>
          </w:p>
        </w:tc>
        <w:tc>
          <w:tcPr>
            <w:tcW w:w="4800" w:type="pct"/>
          </w:tcPr>
          <w:p w:rsidR="00EE3251" w:rsidRDefault="00610B53">
            <w:pPr>
              <w:keepNext/>
              <w:keepLines/>
            </w:pPr>
            <w:r>
              <w:rPr>
                <w:rFonts w:ascii="Arial Unicode MS" w:eastAsia="Arial Unicode MS" w:hAnsi="Arial Unicode MS" w:cs="Arial Unicode MS"/>
                <w:color w:val="000000"/>
              </w:rPr>
              <w:t>An investigation of the degree to which NPV depends on assumptions made about critical variables is called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35"/>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operating analysis</w:t>
                  </w:r>
                </w:p>
              </w:tc>
            </w:tr>
          </w:tbl>
          <w:p w:rsidR="00EE3251" w:rsidRDefault="00EE3251">
            <w:pPr>
              <w:keepNext/>
              <w:keepLines/>
              <w:rPr>
                <w:sz w:val="2"/>
              </w:rPr>
            </w:pPr>
          </w:p>
          <w:tbl>
            <w:tblPr>
              <w:tblW w:w="0" w:type="auto"/>
              <w:tblCellMar>
                <w:left w:w="0" w:type="dxa"/>
                <w:right w:w="0" w:type="dxa"/>
              </w:tblCellMar>
              <w:tblLook w:val="04A0"/>
            </w:tblPr>
            <w:tblGrid>
              <w:gridCol w:w="294"/>
              <w:gridCol w:w="1975"/>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sensitivity analysis</w:t>
                  </w:r>
                </w:p>
              </w:tc>
            </w:tr>
          </w:tbl>
          <w:p w:rsidR="00EE3251" w:rsidRDefault="00EE3251">
            <w:pPr>
              <w:keepNext/>
              <w:keepLines/>
              <w:rPr>
                <w:sz w:val="2"/>
              </w:rPr>
            </w:pPr>
          </w:p>
          <w:tbl>
            <w:tblPr>
              <w:tblW w:w="0" w:type="auto"/>
              <w:tblCellMar>
                <w:left w:w="0" w:type="dxa"/>
                <w:right w:w="0" w:type="dxa"/>
              </w:tblCellMar>
              <w:tblLook w:val="04A0"/>
            </w:tblPr>
            <w:tblGrid>
              <w:gridCol w:w="307"/>
              <w:gridCol w:w="2642"/>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marginal benefit analysis</w:t>
                  </w:r>
                </w:p>
              </w:tc>
            </w:tr>
          </w:tbl>
          <w:p w:rsidR="00EE3251" w:rsidRDefault="00EE3251">
            <w:pPr>
              <w:keepNext/>
              <w:keepLines/>
              <w:rPr>
                <w:sz w:val="2"/>
              </w:rPr>
            </w:pPr>
          </w:p>
          <w:tbl>
            <w:tblPr>
              <w:tblW w:w="0" w:type="auto"/>
              <w:tblCellMar>
                <w:left w:w="0" w:type="dxa"/>
                <w:right w:w="0" w:type="dxa"/>
              </w:tblCellMar>
              <w:tblLook w:val="04A0"/>
            </w:tblPr>
            <w:tblGrid>
              <w:gridCol w:w="307"/>
              <w:gridCol w:w="2362"/>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decision tree analysis.</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8.</w:t>
            </w:r>
          </w:p>
        </w:tc>
        <w:tc>
          <w:tcPr>
            <w:tcW w:w="4800" w:type="pct"/>
          </w:tcPr>
          <w:p w:rsidR="00EE3251" w:rsidRDefault="00610B53">
            <w:pPr>
              <w:keepNext/>
              <w:keepLines/>
            </w:pPr>
            <w:r>
              <w:rPr>
                <w:rFonts w:ascii="Arial Unicode MS" w:eastAsia="Arial Unicode MS" w:hAnsi="Arial Unicode MS" w:cs="Arial Unicode MS"/>
                <w:color w:val="000000"/>
              </w:rPr>
              <w:t>Scenario analysis is different than sensitivity analysis: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190"/>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as no economic forecasts are changed.</w:t>
                  </w:r>
                </w:p>
              </w:tc>
            </w:tr>
          </w:tbl>
          <w:p w:rsidR="00EE3251" w:rsidRDefault="00EE3251">
            <w:pPr>
              <w:keepNext/>
              <w:keepLines/>
              <w:rPr>
                <w:sz w:val="2"/>
              </w:rPr>
            </w:pPr>
          </w:p>
          <w:tbl>
            <w:tblPr>
              <w:tblW w:w="0" w:type="auto"/>
              <w:tblCellMar>
                <w:left w:w="0" w:type="dxa"/>
                <w:right w:w="0" w:type="dxa"/>
              </w:tblCellMar>
              <w:tblLook w:val="04A0"/>
            </w:tblPr>
            <w:tblGrid>
              <w:gridCol w:w="294"/>
              <w:gridCol w:w="4537"/>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as several variables are changed together.</w:t>
                  </w:r>
                </w:p>
              </w:tc>
            </w:tr>
          </w:tbl>
          <w:p w:rsidR="00EE3251" w:rsidRDefault="00EE3251">
            <w:pPr>
              <w:keepNext/>
              <w:keepLines/>
              <w:rPr>
                <w:sz w:val="2"/>
              </w:rPr>
            </w:pPr>
          </w:p>
          <w:tbl>
            <w:tblPr>
              <w:tblW w:w="0" w:type="auto"/>
              <w:tblCellMar>
                <w:left w:w="0" w:type="dxa"/>
                <w:right w:w="0" w:type="dxa"/>
              </w:tblCellMar>
              <w:tblLook w:val="04A0"/>
            </w:tblPr>
            <w:tblGrid>
              <w:gridCol w:w="307"/>
              <w:gridCol w:w="10061"/>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 xml:space="preserve">because scenario analysis deals with actual data versus sensitivity analysis which deals with a </w:t>
                  </w:r>
                  <w:r>
                    <w:rPr>
                      <w:rFonts w:ascii="Arial Unicode MS" w:eastAsia="Arial Unicode MS" w:hAnsi="Arial Unicode MS" w:cs="Arial Unicode MS"/>
                      <w:color w:val="000000"/>
                    </w:rPr>
                    <w:t>forecast.</w:t>
                  </w:r>
                </w:p>
              </w:tc>
            </w:tr>
          </w:tbl>
          <w:p w:rsidR="00EE3251" w:rsidRDefault="00EE3251">
            <w:pPr>
              <w:keepNext/>
              <w:keepLines/>
              <w:rPr>
                <w:sz w:val="2"/>
              </w:rPr>
            </w:pPr>
          </w:p>
          <w:tbl>
            <w:tblPr>
              <w:tblW w:w="0" w:type="auto"/>
              <w:tblCellMar>
                <w:left w:w="0" w:type="dxa"/>
                <w:right w:w="0" w:type="dxa"/>
              </w:tblCellMar>
              <w:tblLook w:val="04A0"/>
            </w:tblPr>
            <w:tblGrid>
              <w:gridCol w:w="307"/>
              <w:gridCol w:w="3229"/>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because it is short and simple.</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9.</w:t>
            </w:r>
          </w:p>
        </w:tc>
        <w:tc>
          <w:tcPr>
            <w:tcW w:w="4800" w:type="pct"/>
          </w:tcPr>
          <w:p w:rsidR="00EE3251" w:rsidRDefault="00610B53">
            <w:pPr>
              <w:keepNext/>
              <w:keepLines/>
            </w:pPr>
            <w:r>
              <w:rPr>
                <w:rFonts w:ascii="Arial Unicode MS" w:eastAsia="Arial Unicode MS" w:hAnsi="Arial Unicode MS" w:cs="Arial Unicode MS"/>
                <w:color w:val="000000"/>
              </w:rPr>
              <w:t>The accounting profit break-even point occurs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097"/>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the total revenue curve cuts the total cost curve.</w:t>
                  </w:r>
                </w:p>
              </w:tc>
            </w:tr>
          </w:tbl>
          <w:p w:rsidR="00EE3251" w:rsidRDefault="00EE3251">
            <w:pPr>
              <w:keepNext/>
              <w:keepLines/>
              <w:rPr>
                <w:sz w:val="2"/>
              </w:rPr>
            </w:pPr>
          </w:p>
          <w:tbl>
            <w:tblPr>
              <w:tblW w:w="0" w:type="auto"/>
              <w:tblCellMar>
                <w:left w:w="0" w:type="dxa"/>
                <w:right w:w="0" w:type="dxa"/>
              </w:tblCellMar>
              <w:tblLook w:val="04A0"/>
            </w:tblPr>
            <w:tblGrid>
              <w:gridCol w:w="294"/>
              <w:gridCol w:w="5150"/>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the total revenue curve cuts the fixed cost curve.</w:t>
                  </w:r>
                </w:p>
              </w:tc>
            </w:tr>
          </w:tbl>
          <w:p w:rsidR="00EE3251" w:rsidRDefault="00EE3251">
            <w:pPr>
              <w:keepNext/>
              <w:keepLines/>
              <w:rPr>
                <w:sz w:val="2"/>
              </w:rPr>
            </w:pPr>
          </w:p>
          <w:tbl>
            <w:tblPr>
              <w:tblW w:w="0" w:type="auto"/>
              <w:tblCellMar>
                <w:left w:w="0" w:type="dxa"/>
                <w:right w:w="0" w:type="dxa"/>
              </w:tblCellMar>
              <w:tblLook w:val="04A0"/>
            </w:tblPr>
            <w:tblGrid>
              <w:gridCol w:w="307"/>
              <w:gridCol w:w="5056"/>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 xml:space="preserve">the variable cost curve </w:t>
                  </w:r>
                  <w:r>
                    <w:rPr>
                      <w:rFonts w:ascii="Arial Unicode MS" w:eastAsia="Arial Unicode MS" w:hAnsi="Arial Unicode MS" w:cs="Arial Unicode MS"/>
                      <w:color w:val="000000"/>
                    </w:rPr>
                    <w:t>cuts the total cost curve.</w:t>
                  </w:r>
                </w:p>
              </w:tc>
            </w:tr>
          </w:tbl>
          <w:p w:rsidR="00EE3251" w:rsidRDefault="00EE3251">
            <w:pPr>
              <w:keepNext/>
              <w:keepLines/>
              <w:rPr>
                <w:sz w:val="2"/>
              </w:rPr>
            </w:pPr>
          </w:p>
          <w:tbl>
            <w:tblPr>
              <w:tblW w:w="0" w:type="auto"/>
              <w:tblCellMar>
                <w:left w:w="0" w:type="dxa"/>
                <w:right w:w="0" w:type="dxa"/>
              </w:tblCellMar>
              <w:tblLook w:val="04A0"/>
            </w:tblPr>
            <w:tblGrid>
              <w:gridCol w:w="307"/>
              <w:gridCol w:w="5483"/>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the total revenue curve cuts the variable cost curve.</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10.</w:t>
            </w:r>
          </w:p>
        </w:tc>
        <w:tc>
          <w:tcPr>
            <w:tcW w:w="4800" w:type="pct"/>
          </w:tcPr>
          <w:p w:rsidR="00EE3251" w:rsidRDefault="00610B53">
            <w:pPr>
              <w:keepNext/>
              <w:keepLines/>
            </w:pPr>
            <w:r>
              <w:rPr>
                <w:rFonts w:ascii="Arial Unicode MS" w:eastAsia="Arial Unicode MS" w:hAnsi="Arial Unicode MS" w:cs="Arial Unicode MS"/>
                <w:color w:val="000000"/>
              </w:rPr>
              <w:t>In the present-value break-even the EAC is used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790"/>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determine the opportunity cost of investment.</w:t>
                  </w:r>
                </w:p>
              </w:tc>
            </w:tr>
          </w:tbl>
          <w:p w:rsidR="00EE3251" w:rsidRDefault="00EE3251">
            <w:pPr>
              <w:keepNext/>
              <w:keepLines/>
              <w:rPr>
                <w:sz w:val="2"/>
              </w:rPr>
            </w:pPr>
          </w:p>
          <w:tbl>
            <w:tblPr>
              <w:tblW w:w="0" w:type="auto"/>
              <w:tblCellMar>
                <w:left w:w="0" w:type="dxa"/>
                <w:right w:w="0" w:type="dxa"/>
              </w:tblCellMar>
              <w:tblLook w:val="04A0"/>
            </w:tblPr>
            <w:tblGrid>
              <w:gridCol w:w="294"/>
              <w:gridCol w:w="5030"/>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 xml:space="preserve">allocate depreciation over the life of the </w:t>
                  </w:r>
                  <w:r>
                    <w:rPr>
                      <w:rFonts w:ascii="Arial Unicode MS" w:eastAsia="Arial Unicode MS" w:hAnsi="Arial Unicode MS" w:cs="Arial Unicode MS"/>
                      <w:color w:val="000000"/>
                    </w:rPr>
                    <w:t>project.</w:t>
                  </w:r>
                </w:p>
              </w:tc>
            </w:tr>
          </w:tbl>
          <w:p w:rsidR="00EE3251" w:rsidRDefault="00EE3251">
            <w:pPr>
              <w:keepNext/>
              <w:keepLines/>
              <w:rPr>
                <w:sz w:val="2"/>
              </w:rPr>
            </w:pPr>
          </w:p>
          <w:tbl>
            <w:tblPr>
              <w:tblW w:w="0" w:type="auto"/>
              <w:tblCellMar>
                <w:left w:w="0" w:type="dxa"/>
                <w:right w:w="0" w:type="dxa"/>
              </w:tblCellMar>
              <w:tblLook w:val="04A0"/>
            </w:tblPr>
            <w:tblGrid>
              <w:gridCol w:w="307"/>
              <w:gridCol w:w="8232"/>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allocate the initial investment at its opportunity cost over the life of the project.</w:t>
                  </w:r>
                </w:p>
              </w:tc>
            </w:tr>
          </w:tbl>
          <w:p w:rsidR="00EE3251" w:rsidRDefault="00EE3251">
            <w:pPr>
              <w:keepNext/>
              <w:keepLines/>
              <w:rPr>
                <w:sz w:val="2"/>
              </w:rPr>
            </w:pPr>
          </w:p>
          <w:tbl>
            <w:tblPr>
              <w:tblW w:w="0" w:type="auto"/>
              <w:tblCellMar>
                <w:left w:w="0" w:type="dxa"/>
                <w:right w:w="0" w:type="dxa"/>
              </w:tblCellMar>
              <w:tblLook w:val="04A0"/>
            </w:tblPr>
            <w:tblGrid>
              <w:gridCol w:w="307"/>
              <w:gridCol w:w="5110"/>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determine the contribution margin to fixed costs.</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11.</w:t>
            </w:r>
          </w:p>
        </w:tc>
        <w:tc>
          <w:tcPr>
            <w:tcW w:w="4800" w:type="pct"/>
          </w:tcPr>
          <w:p w:rsidR="00EE3251" w:rsidRDefault="00610B53">
            <w:pPr>
              <w:keepNext/>
              <w:keepLines/>
            </w:pPr>
            <w:r>
              <w:rPr>
                <w:rFonts w:ascii="Arial Unicode MS" w:eastAsia="Arial Unicode MS" w:hAnsi="Arial Unicode MS" w:cs="Arial Unicode MS"/>
                <w:color w:val="000000"/>
              </w:rPr>
              <w:t>The present value break-even point is superior to the accounting break-even point because:</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57"/>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present value break-even is more complicated to calculate.</w:t>
                  </w:r>
                </w:p>
              </w:tc>
            </w:tr>
          </w:tbl>
          <w:p w:rsidR="00EE3251" w:rsidRDefault="00EE3251">
            <w:pPr>
              <w:keepNext/>
              <w:keepLines/>
              <w:rPr>
                <w:sz w:val="2"/>
              </w:rPr>
            </w:pPr>
          </w:p>
          <w:tbl>
            <w:tblPr>
              <w:tblW w:w="0" w:type="auto"/>
              <w:tblCellMar>
                <w:left w:w="0" w:type="dxa"/>
                <w:right w:w="0" w:type="dxa"/>
              </w:tblCellMar>
              <w:tblLook w:val="04A0"/>
            </w:tblPr>
            <w:tblGrid>
              <w:gridCol w:w="294"/>
              <w:gridCol w:w="8819"/>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present value break-even covers the economic opportunity costs of the investment.</w:t>
                  </w:r>
                </w:p>
              </w:tc>
            </w:tr>
          </w:tbl>
          <w:p w:rsidR="00EE3251" w:rsidRDefault="00EE3251">
            <w:pPr>
              <w:keepNext/>
              <w:keepLines/>
              <w:rPr>
                <w:sz w:val="2"/>
              </w:rPr>
            </w:pPr>
          </w:p>
          <w:tbl>
            <w:tblPr>
              <w:tblW w:w="0" w:type="auto"/>
              <w:tblCellMar>
                <w:left w:w="0" w:type="dxa"/>
                <w:right w:w="0" w:type="dxa"/>
              </w:tblCellMar>
              <w:tblLook w:val="04A0"/>
            </w:tblPr>
            <w:tblGrid>
              <w:gridCol w:w="307"/>
              <w:gridCol w:w="6430"/>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present value break-even is the same as sensitivity analysis.</w:t>
                  </w:r>
                </w:p>
              </w:tc>
            </w:tr>
          </w:tbl>
          <w:p w:rsidR="00EE3251" w:rsidRDefault="00EE3251">
            <w:pPr>
              <w:keepNext/>
              <w:keepLines/>
              <w:rPr>
                <w:sz w:val="2"/>
              </w:rPr>
            </w:pPr>
          </w:p>
          <w:tbl>
            <w:tblPr>
              <w:tblW w:w="0" w:type="auto"/>
              <w:tblCellMar>
                <w:left w:w="0" w:type="dxa"/>
                <w:right w:w="0" w:type="dxa"/>
              </w:tblCellMar>
              <w:tblLook w:val="04A0"/>
            </w:tblPr>
            <w:tblGrid>
              <w:gridCol w:w="307"/>
              <w:gridCol w:w="10061"/>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present value break-even c</w:t>
                  </w:r>
                  <w:r>
                    <w:rPr>
                      <w:rFonts w:ascii="Arial Unicode MS" w:eastAsia="Arial Unicode MS" w:hAnsi="Arial Unicode MS" w:cs="Arial Unicode MS"/>
                      <w:color w:val="000000"/>
                    </w:rPr>
                    <w:t>overs the fixed costs of production, which the accounting break-even does not.</w:t>
                  </w:r>
                </w:p>
              </w:tc>
            </w:tr>
          </w:tbl>
          <w:p w:rsidR="00EE3251" w:rsidRDefault="00EE3251">
            <w:pPr>
              <w:keepNext/>
              <w:keepLines/>
              <w:rPr>
                <w:sz w:val="2"/>
              </w:rPr>
            </w:pPr>
          </w:p>
          <w:tbl>
            <w:tblPr>
              <w:tblW w:w="0" w:type="auto"/>
              <w:tblCellMar>
                <w:left w:w="0" w:type="dxa"/>
                <w:right w:w="0" w:type="dxa"/>
              </w:tblCellMar>
              <w:tblLook w:val="04A0"/>
            </w:tblPr>
            <w:tblGrid>
              <w:gridCol w:w="294"/>
              <w:gridCol w:w="10074"/>
            </w:tblGrid>
            <w:tr w:rsidR="00EE3251">
              <w:tc>
                <w:tcPr>
                  <w:tcW w:w="0" w:type="auto"/>
                </w:tcPr>
                <w:p w:rsidR="00EE3251" w:rsidRDefault="00610B53">
                  <w:pPr>
                    <w:keepNext/>
                    <w:keepLines/>
                  </w:pPr>
                  <w:r>
                    <w:rPr>
                      <w:rFonts w:ascii="Arial Unicode MS" w:eastAsia="Arial Unicode MS" w:hAnsi="Arial Unicode MS" w:cs="Arial Unicode MS"/>
                      <w:color w:val="000000"/>
                    </w:rPr>
                    <w:t>E. </w:t>
                  </w:r>
                </w:p>
              </w:tc>
              <w:tc>
                <w:tcPr>
                  <w:tcW w:w="0" w:type="auto"/>
                </w:tcPr>
                <w:p w:rsidR="00EE3251" w:rsidRDefault="00610B53">
                  <w:pPr>
                    <w:keepNext/>
                    <w:keepLines/>
                  </w:pPr>
                  <w:r>
                    <w:rPr>
                      <w:rFonts w:ascii="Arial Unicode MS" w:eastAsia="Arial Unicode MS" w:hAnsi="Arial Unicode MS" w:cs="Arial Unicode MS"/>
                      <w:color w:val="000000"/>
                    </w:rPr>
                    <w:t>present value break-even covers the variable costs of production, which the accounting break-even does not.</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12.</w:t>
            </w:r>
          </w:p>
        </w:tc>
        <w:tc>
          <w:tcPr>
            <w:tcW w:w="4800" w:type="pct"/>
          </w:tcPr>
          <w:p w:rsidR="00EE3251" w:rsidRDefault="00610B53">
            <w:pPr>
              <w:keepNext/>
              <w:keepLines/>
            </w:pPr>
            <w:r>
              <w:rPr>
                <w:rFonts w:ascii="Arial Unicode MS" w:eastAsia="Arial Unicode MS" w:hAnsi="Arial Unicode MS" w:cs="Arial Unicode MS"/>
                <w:color w:val="000000"/>
              </w:rPr>
              <w:t xml:space="preserve">The Mini-Max Company has the following cost </w:t>
            </w:r>
            <w:r>
              <w:rPr>
                <w:rFonts w:ascii="Arial Unicode MS" w:eastAsia="Arial Unicode MS" w:hAnsi="Arial Unicode MS" w:cs="Arial Unicode MS"/>
                <w:color w:val="000000"/>
              </w:rPr>
              <w:t>information on their new prospective project.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Fixed costs are $200/year. (Initial investment is $700)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$3/unit.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$140/year.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$8/unit.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5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Calculate the accounting </w:t>
            </w:r>
            <w:r>
              <w:rPr>
                <w:rFonts w:ascii="Arial Unicode MS" w:eastAsia="Arial Unicode MS" w:hAnsi="Arial Unicode MS" w:cs="Arial Unicode MS"/>
                <w:color w:val="000000"/>
              </w:rPr>
              <w:t>break-even point.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75"/>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68.00 units/year.</w:t>
                  </w:r>
                </w:p>
              </w:tc>
            </w:tr>
          </w:tbl>
          <w:p w:rsidR="00EE3251" w:rsidRDefault="00EE3251">
            <w:pPr>
              <w:keepNext/>
              <w:keepLines/>
              <w:rPr>
                <w:sz w:val="2"/>
              </w:rPr>
            </w:pPr>
          </w:p>
          <w:tbl>
            <w:tblPr>
              <w:tblW w:w="0" w:type="auto"/>
              <w:tblCellMar>
                <w:left w:w="0" w:type="dxa"/>
                <w:right w:w="0" w:type="dxa"/>
              </w:tblCellMar>
              <w:tblLook w:val="04A0"/>
            </w:tblPr>
            <w:tblGrid>
              <w:gridCol w:w="294"/>
              <w:gridCol w:w="1908"/>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103.03 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908"/>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113.33 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775"/>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25.00 units/year.</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13.</w:t>
            </w:r>
          </w:p>
        </w:tc>
        <w:tc>
          <w:tcPr>
            <w:tcW w:w="4800" w:type="pct"/>
          </w:tcPr>
          <w:p w:rsidR="00EE3251" w:rsidRDefault="00610B53">
            <w:pPr>
              <w:keepNext/>
              <w:keepLines/>
            </w:pPr>
            <w:r>
              <w:rPr>
                <w:rFonts w:ascii="Arial Unicode MS" w:eastAsia="Arial Unicode MS" w:hAnsi="Arial Unicode MS" w:cs="Arial Unicode MS"/>
                <w:color w:val="000000"/>
              </w:rPr>
              <w:t>The Mini-Max Company has the following cost information on their new prospective project.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Fixed costs are $200/year. (Initial </w:t>
            </w:r>
            <w:r>
              <w:rPr>
                <w:rFonts w:ascii="Arial Unicode MS" w:eastAsia="Arial Unicode MS" w:hAnsi="Arial Unicode MS" w:cs="Arial Unicode MS"/>
                <w:color w:val="000000"/>
              </w:rPr>
              <w:t>investment is $700)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$3/unit.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$140/year.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$8/unit.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3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Calculate the present value break-even point.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75"/>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68.00 units/year.</w:t>
                  </w:r>
                </w:p>
              </w:tc>
            </w:tr>
          </w:tbl>
          <w:p w:rsidR="00EE3251" w:rsidRDefault="00EE3251">
            <w:pPr>
              <w:keepNext/>
              <w:keepLines/>
              <w:rPr>
                <w:sz w:val="2"/>
              </w:rPr>
            </w:pPr>
          </w:p>
          <w:tbl>
            <w:tblPr>
              <w:tblW w:w="0" w:type="auto"/>
              <w:tblCellMar>
                <w:left w:w="0" w:type="dxa"/>
                <w:right w:w="0" w:type="dxa"/>
              </w:tblCellMar>
              <w:tblLook w:val="04A0"/>
            </w:tblPr>
            <w:tblGrid>
              <w:gridCol w:w="294"/>
              <w:gridCol w:w="1908"/>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113.27 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775"/>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 xml:space="preserve">84.42 </w:t>
                  </w:r>
                  <w:r>
                    <w:rPr>
                      <w:rFonts w:ascii="Arial Unicode MS" w:eastAsia="Arial Unicode MS" w:hAnsi="Arial Unicode MS" w:cs="Arial Unicode MS"/>
                      <w:color w:val="000000"/>
                    </w:rPr>
                    <w:t>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441"/>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75 units/year.</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14.</w:t>
            </w:r>
          </w:p>
        </w:tc>
        <w:tc>
          <w:tcPr>
            <w:tcW w:w="4800" w:type="pct"/>
          </w:tcPr>
          <w:p w:rsidR="00EE3251" w:rsidRDefault="00610B53">
            <w:pPr>
              <w:keepNext/>
              <w:keepLines/>
            </w:pPr>
            <w:r>
              <w:rPr>
                <w:rFonts w:ascii="Arial Unicode MS" w:eastAsia="Arial Unicode MS" w:hAnsi="Arial Unicode MS" w:cs="Arial Unicode MS"/>
                <w:color w:val="000000"/>
              </w:rPr>
              <w:t>From the information below, calculate the accounting break-even point.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Fixed costs are $2000/year. (Initial investment is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$6/unit.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$250/year.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$20/unit.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10</w:t>
            </w:r>
            <w:r>
              <w:rPr>
                <w:rFonts w:ascii="Arial Unicode MS" w:eastAsia="Arial Unicode MS" w:hAnsi="Arial Unicode MS" w:cs="Arial Unicode MS"/>
                <w:color w:val="000000"/>
              </w:rPr>
              <w: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4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41"/>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88 units/year.</w:t>
                  </w:r>
                </w:p>
              </w:tc>
            </w:tr>
          </w:tbl>
          <w:p w:rsidR="00EE3251" w:rsidRDefault="00EE3251">
            <w:pPr>
              <w:keepNext/>
              <w:keepLines/>
              <w:rPr>
                <w:sz w:val="2"/>
              </w:rPr>
            </w:pPr>
          </w:p>
          <w:tbl>
            <w:tblPr>
              <w:tblW w:w="0" w:type="auto"/>
              <w:tblCellMar>
                <w:left w:w="0" w:type="dxa"/>
                <w:right w:w="0" w:type="dxa"/>
              </w:tblCellMar>
              <w:tblLook w:val="04A0"/>
            </w:tblPr>
            <w:tblGrid>
              <w:gridCol w:w="294"/>
              <w:gridCol w:w="1575"/>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161 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575"/>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143 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575"/>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100 units/year.</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15.</w:t>
            </w:r>
          </w:p>
        </w:tc>
        <w:tc>
          <w:tcPr>
            <w:tcW w:w="4800" w:type="pct"/>
          </w:tcPr>
          <w:p w:rsidR="00EE3251" w:rsidRDefault="00610B53">
            <w:pPr>
              <w:keepNext/>
              <w:keepLines/>
            </w:pPr>
            <w:r>
              <w:rPr>
                <w:rFonts w:ascii="Arial Unicode MS" w:eastAsia="Arial Unicode MS" w:hAnsi="Arial Unicode MS" w:cs="Arial Unicode MS"/>
                <w:color w:val="000000"/>
              </w:rPr>
              <w:t>Given the following information, calculate the present value break-even point.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Fixed costs: $2000/year. (Initial </w:t>
            </w:r>
            <w:r>
              <w:rPr>
                <w:rFonts w:ascii="Arial Unicode MS" w:eastAsia="Arial Unicode MS" w:hAnsi="Arial Unicode MS" w:cs="Arial Unicode MS"/>
                <w:color w:val="000000"/>
              </w:rPr>
              <w:t>investment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$6/unit.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$250/year.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$20/unit.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4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575"/>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100 units/year.</w:t>
                  </w:r>
                </w:p>
              </w:tc>
            </w:tr>
          </w:tbl>
          <w:p w:rsidR="00EE3251" w:rsidRDefault="00EE3251">
            <w:pPr>
              <w:keepNext/>
              <w:keepLines/>
              <w:rPr>
                <w:sz w:val="2"/>
              </w:rPr>
            </w:pPr>
          </w:p>
          <w:tbl>
            <w:tblPr>
              <w:tblW w:w="0" w:type="auto"/>
              <w:tblCellMar>
                <w:left w:w="0" w:type="dxa"/>
                <w:right w:w="0" w:type="dxa"/>
              </w:tblCellMar>
              <w:tblLook w:val="04A0"/>
            </w:tblPr>
            <w:tblGrid>
              <w:gridCol w:w="294"/>
              <w:gridCol w:w="1575"/>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143 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575"/>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202 units/year.</w:t>
                  </w:r>
                </w:p>
              </w:tc>
            </w:tr>
          </w:tbl>
          <w:p w:rsidR="00EE3251" w:rsidRDefault="00EE3251">
            <w:pPr>
              <w:keepNext/>
              <w:keepLines/>
              <w:rPr>
                <w:sz w:val="2"/>
              </w:rPr>
            </w:pPr>
          </w:p>
          <w:tbl>
            <w:tblPr>
              <w:tblW w:w="0" w:type="auto"/>
              <w:tblCellMar>
                <w:left w:w="0" w:type="dxa"/>
                <w:right w:w="0" w:type="dxa"/>
              </w:tblCellMar>
              <w:tblLook w:val="04A0"/>
            </w:tblPr>
            <w:tblGrid>
              <w:gridCol w:w="307"/>
              <w:gridCol w:w="1575"/>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286 units/year.</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16.</w:t>
            </w:r>
          </w:p>
        </w:tc>
        <w:tc>
          <w:tcPr>
            <w:tcW w:w="4800" w:type="pct"/>
          </w:tcPr>
          <w:p w:rsidR="00EE3251" w:rsidRDefault="00610B53">
            <w:pPr>
              <w:keepNext/>
              <w:keepLines/>
            </w:pPr>
            <w:r>
              <w:rPr>
                <w:rFonts w:ascii="Arial Unicode MS" w:eastAsia="Arial Unicode MS" w:hAnsi="Arial Unicode MS" w:cs="Arial Unicode MS"/>
                <w:color w:val="000000"/>
              </w:rPr>
              <w:t>Including the</w:t>
            </w:r>
            <w:r>
              <w:rPr>
                <w:rFonts w:ascii="Arial Unicode MS" w:eastAsia="Arial Unicode MS" w:hAnsi="Arial Unicode MS" w:cs="Arial Unicode MS"/>
                <w:color w:val="000000"/>
              </w:rPr>
              <w:t xml:space="preserve"> option to expand in your project analysis will tend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91"/>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extend the duration of a project but not affect the project's net present value.</w:t>
                  </w:r>
                </w:p>
              </w:tc>
            </w:tr>
          </w:tbl>
          <w:p w:rsidR="00EE3251" w:rsidRDefault="00EE3251">
            <w:pPr>
              <w:keepNext/>
              <w:keepLines/>
              <w:rPr>
                <w:sz w:val="2"/>
              </w:rPr>
            </w:pPr>
          </w:p>
          <w:tbl>
            <w:tblPr>
              <w:tblW w:w="0" w:type="auto"/>
              <w:tblCellMar>
                <w:left w:w="0" w:type="dxa"/>
                <w:right w:w="0" w:type="dxa"/>
              </w:tblCellMar>
              <w:tblLook w:val="04A0"/>
            </w:tblPr>
            <w:tblGrid>
              <w:gridCol w:w="294"/>
              <w:gridCol w:w="4537"/>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increase the net present value of a project.</w:t>
                  </w:r>
                </w:p>
              </w:tc>
            </w:tr>
          </w:tbl>
          <w:p w:rsidR="00EE3251" w:rsidRDefault="00EE3251">
            <w:pPr>
              <w:keepNext/>
              <w:keepLines/>
              <w:rPr>
                <w:sz w:val="2"/>
              </w:rPr>
            </w:pPr>
          </w:p>
          <w:tbl>
            <w:tblPr>
              <w:tblW w:w="0" w:type="auto"/>
              <w:tblCellMar>
                <w:left w:w="0" w:type="dxa"/>
                <w:right w:w="0" w:type="dxa"/>
              </w:tblCellMar>
              <w:tblLook w:val="04A0"/>
            </w:tblPr>
            <w:tblGrid>
              <w:gridCol w:w="307"/>
              <w:gridCol w:w="4617"/>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decrease the net present value of a project.</w:t>
                  </w:r>
                </w:p>
              </w:tc>
            </w:tr>
          </w:tbl>
          <w:p w:rsidR="00EE3251" w:rsidRDefault="00EE3251">
            <w:pPr>
              <w:keepNext/>
              <w:keepLines/>
              <w:rPr>
                <w:sz w:val="2"/>
              </w:rPr>
            </w:pPr>
          </w:p>
          <w:tbl>
            <w:tblPr>
              <w:tblW w:w="0" w:type="auto"/>
              <w:tblCellMar>
                <w:left w:w="0" w:type="dxa"/>
                <w:right w:w="0" w:type="dxa"/>
              </w:tblCellMar>
              <w:tblLook w:val="04A0"/>
            </w:tblPr>
            <w:tblGrid>
              <w:gridCol w:w="307"/>
              <w:gridCol w:w="7410"/>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have no effect on either a project's cash flows or its net present value.</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17.</w:t>
            </w:r>
          </w:p>
        </w:tc>
        <w:tc>
          <w:tcPr>
            <w:tcW w:w="4800" w:type="pct"/>
          </w:tcPr>
          <w:p w:rsidR="00EE3251" w:rsidRDefault="00610B53">
            <w:pPr>
              <w:keepNext/>
              <w:keepLines/>
            </w:pPr>
            <w:r>
              <w:rPr>
                <w:rFonts w:ascii="Arial Unicode MS" w:eastAsia="Arial Unicode MS" w:hAnsi="Arial Unicode MS" w:cs="Arial Unicode MS"/>
                <w:color w:val="000000"/>
              </w:rPr>
              <w:t>All else equal, the contribution margin must increase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871"/>
            </w:tblGrid>
            <w:tr w:rsidR="00EE3251">
              <w:tc>
                <w:tcPr>
                  <w:tcW w:w="0" w:type="auto"/>
                </w:tcPr>
                <w:p w:rsidR="00EE3251" w:rsidRDefault="00610B53">
                  <w:pPr>
                    <w:keepNext/>
                    <w:keepLines/>
                  </w:pPr>
                  <w:r>
                    <w:rPr>
                      <w:rFonts w:ascii="Arial Unicode MS" w:eastAsia="Arial Unicode MS" w:hAnsi="Arial Unicode MS" w:cs="Arial Unicode MS"/>
                      <w:color w:val="000000"/>
                    </w:rPr>
                    <w:t>A. </w:t>
                  </w:r>
                </w:p>
              </w:tc>
              <w:tc>
                <w:tcPr>
                  <w:tcW w:w="0" w:type="auto"/>
                </w:tcPr>
                <w:p w:rsidR="00EE3251" w:rsidRDefault="00610B53">
                  <w:pPr>
                    <w:keepNext/>
                    <w:keepLines/>
                  </w:pPr>
                  <w:r>
                    <w:rPr>
                      <w:rFonts w:ascii="Arial Unicode MS" w:eastAsia="Arial Unicode MS" w:hAnsi="Arial Unicode MS" w:cs="Arial Unicode MS"/>
                      <w:color w:val="000000"/>
                    </w:rPr>
                    <w:t>both the sales price and variable cost per unit increase.</w:t>
                  </w:r>
                </w:p>
              </w:tc>
            </w:tr>
          </w:tbl>
          <w:p w:rsidR="00EE3251" w:rsidRDefault="00EE3251">
            <w:pPr>
              <w:keepNext/>
              <w:keepLines/>
              <w:rPr>
                <w:sz w:val="2"/>
              </w:rPr>
            </w:pPr>
          </w:p>
          <w:tbl>
            <w:tblPr>
              <w:tblW w:w="0" w:type="auto"/>
              <w:tblCellMar>
                <w:left w:w="0" w:type="dxa"/>
                <w:right w:w="0" w:type="dxa"/>
              </w:tblCellMar>
              <w:tblLook w:val="04A0"/>
            </w:tblPr>
            <w:tblGrid>
              <w:gridCol w:w="294"/>
              <w:gridCol w:w="3296"/>
            </w:tblGrid>
            <w:tr w:rsidR="00EE3251">
              <w:tc>
                <w:tcPr>
                  <w:tcW w:w="0" w:type="auto"/>
                </w:tcPr>
                <w:p w:rsidR="00EE3251" w:rsidRDefault="00610B53">
                  <w:pPr>
                    <w:keepNext/>
                    <w:keepLines/>
                  </w:pPr>
                  <w:r>
                    <w:rPr>
                      <w:rFonts w:ascii="Arial Unicode MS" w:eastAsia="Arial Unicode MS" w:hAnsi="Arial Unicode MS" w:cs="Arial Unicode MS"/>
                      <w:color w:val="000000"/>
                    </w:rPr>
                    <w:t>B. </w:t>
                  </w:r>
                </w:p>
              </w:tc>
              <w:tc>
                <w:tcPr>
                  <w:tcW w:w="0" w:type="auto"/>
                </w:tcPr>
                <w:p w:rsidR="00EE3251" w:rsidRDefault="00610B53">
                  <w:pPr>
                    <w:keepNext/>
                    <w:keepLines/>
                  </w:pPr>
                  <w:r>
                    <w:rPr>
                      <w:rFonts w:ascii="Arial Unicode MS" w:eastAsia="Arial Unicode MS" w:hAnsi="Arial Unicode MS" w:cs="Arial Unicode MS"/>
                      <w:color w:val="000000"/>
                    </w:rPr>
                    <w:t>the fixed cost per unit declines.</w:t>
                  </w:r>
                </w:p>
              </w:tc>
            </w:tr>
          </w:tbl>
          <w:p w:rsidR="00EE3251" w:rsidRDefault="00EE3251">
            <w:pPr>
              <w:keepNext/>
              <w:keepLines/>
              <w:rPr>
                <w:sz w:val="2"/>
              </w:rPr>
            </w:pPr>
          </w:p>
          <w:tbl>
            <w:tblPr>
              <w:tblW w:w="0" w:type="auto"/>
              <w:tblCellMar>
                <w:left w:w="0" w:type="dxa"/>
                <w:right w:w="0" w:type="dxa"/>
              </w:tblCellMar>
              <w:tblLook w:val="04A0"/>
            </w:tblPr>
            <w:tblGrid>
              <w:gridCol w:w="307"/>
              <w:gridCol w:w="3629"/>
            </w:tblGrid>
            <w:tr w:rsidR="00EE3251">
              <w:tc>
                <w:tcPr>
                  <w:tcW w:w="0" w:type="auto"/>
                </w:tcPr>
                <w:p w:rsidR="00EE3251" w:rsidRDefault="00610B53">
                  <w:pPr>
                    <w:keepNext/>
                    <w:keepLines/>
                  </w:pPr>
                  <w:r>
                    <w:rPr>
                      <w:rFonts w:ascii="Arial Unicode MS" w:eastAsia="Arial Unicode MS" w:hAnsi="Arial Unicode MS" w:cs="Arial Unicode MS"/>
                      <w:color w:val="000000"/>
                    </w:rPr>
                    <w:t>C. </w:t>
                  </w:r>
                </w:p>
              </w:tc>
              <w:tc>
                <w:tcPr>
                  <w:tcW w:w="0" w:type="auto"/>
                </w:tcPr>
                <w:p w:rsidR="00EE3251" w:rsidRDefault="00610B53">
                  <w:pPr>
                    <w:keepNext/>
                    <w:keepLines/>
                  </w:pPr>
                  <w:r>
                    <w:rPr>
                      <w:rFonts w:ascii="Arial Unicode MS" w:eastAsia="Arial Unicode MS" w:hAnsi="Arial Unicode MS" w:cs="Arial Unicode MS"/>
                      <w:color w:val="000000"/>
                    </w:rPr>
                    <w:t>the</w:t>
                  </w:r>
                  <w:r>
                    <w:rPr>
                      <w:rFonts w:ascii="Arial Unicode MS" w:eastAsia="Arial Unicode MS" w:hAnsi="Arial Unicode MS" w:cs="Arial Unicode MS"/>
                      <w:color w:val="000000"/>
                    </w:rPr>
                    <w:t xml:space="preserve"> variable cost per unit declines.</w:t>
                  </w:r>
                </w:p>
              </w:tc>
            </w:tr>
          </w:tbl>
          <w:p w:rsidR="00EE3251" w:rsidRDefault="00EE3251">
            <w:pPr>
              <w:keepNext/>
              <w:keepLines/>
              <w:rPr>
                <w:sz w:val="2"/>
              </w:rPr>
            </w:pPr>
          </w:p>
          <w:tbl>
            <w:tblPr>
              <w:tblW w:w="0" w:type="auto"/>
              <w:tblCellMar>
                <w:left w:w="0" w:type="dxa"/>
                <w:right w:w="0" w:type="dxa"/>
              </w:tblCellMar>
              <w:tblLook w:val="04A0"/>
            </w:tblPr>
            <w:tblGrid>
              <w:gridCol w:w="307"/>
              <w:gridCol w:w="3029"/>
            </w:tblGrid>
            <w:tr w:rsidR="00EE3251">
              <w:tc>
                <w:tcPr>
                  <w:tcW w:w="0" w:type="auto"/>
                </w:tcPr>
                <w:p w:rsidR="00EE3251" w:rsidRDefault="00610B53">
                  <w:pPr>
                    <w:keepNext/>
                    <w:keepLines/>
                  </w:pPr>
                  <w:r>
                    <w:rPr>
                      <w:rFonts w:ascii="Arial Unicode MS" w:eastAsia="Arial Unicode MS" w:hAnsi="Arial Unicode MS" w:cs="Arial Unicode MS"/>
                      <w:color w:val="000000"/>
                    </w:rPr>
                    <w:t>D. </w:t>
                  </w:r>
                </w:p>
              </w:tc>
              <w:tc>
                <w:tcPr>
                  <w:tcW w:w="0" w:type="auto"/>
                </w:tcPr>
                <w:p w:rsidR="00EE3251" w:rsidRDefault="00610B53">
                  <w:pPr>
                    <w:keepNext/>
                    <w:keepLines/>
                  </w:pPr>
                  <w:r>
                    <w:rPr>
                      <w:rFonts w:ascii="Arial Unicode MS" w:eastAsia="Arial Unicode MS" w:hAnsi="Arial Unicode MS" w:cs="Arial Unicode MS"/>
                      <w:color w:val="000000"/>
                    </w:rPr>
                    <w:t>sales price per unit declines.</w:t>
                  </w:r>
                </w:p>
              </w:tc>
            </w:tr>
          </w:tbl>
          <w:p w:rsidR="00EE3251" w:rsidRDefault="00EE3251">
            <w:pPr>
              <w:keepNext/>
              <w:keepLines/>
              <w:rPr>
                <w:sz w:val="2"/>
              </w:rPr>
            </w:pPr>
          </w:p>
          <w:tbl>
            <w:tblPr>
              <w:tblW w:w="0" w:type="auto"/>
              <w:tblCellMar>
                <w:left w:w="0" w:type="dxa"/>
                <w:right w:w="0" w:type="dxa"/>
              </w:tblCellMar>
              <w:tblLook w:val="04A0"/>
            </w:tblPr>
            <w:tblGrid>
              <w:gridCol w:w="294"/>
              <w:gridCol w:w="5763"/>
            </w:tblGrid>
            <w:tr w:rsidR="00EE3251">
              <w:tc>
                <w:tcPr>
                  <w:tcW w:w="0" w:type="auto"/>
                </w:tcPr>
                <w:p w:rsidR="00EE3251" w:rsidRDefault="00610B53">
                  <w:pPr>
                    <w:keepNext/>
                    <w:keepLines/>
                  </w:pPr>
                  <w:r>
                    <w:rPr>
                      <w:rFonts w:ascii="Arial Unicode MS" w:eastAsia="Arial Unicode MS" w:hAnsi="Arial Unicode MS" w:cs="Arial Unicode MS"/>
                      <w:color w:val="000000"/>
                    </w:rPr>
                    <w:t>E. </w:t>
                  </w:r>
                </w:p>
              </w:tc>
              <w:tc>
                <w:tcPr>
                  <w:tcW w:w="0" w:type="auto"/>
                </w:tcPr>
                <w:p w:rsidR="00EE3251" w:rsidRDefault="00610B53">
                  <w:pPr>
                    <w:keepNext/>
                    <w:keepLines/>
                  </w:pPr>
                  <w:r>
                    <w:rPr>
                      <w:rFonts w:ascii="Arial Unicode MS" w:eastAsia="Arial Unicode MS" w:hAnsi="Arial Unicode MS" w:cs="Arial Unicode MS"/>
                      <w:color w:val="000000"/>
                    </w:rPr>
                    <w:t>the sales price minus the fixed cost per unit increases.</w:t>
                  </w:r>
                </w:p>
              </w:tc>
            </w:tr>
          </w:tbl>
          <w:p w:rsidR="00EE3251" w:rsidRDefault="00EE3251"/>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18.</w:t>
            </w:r>
          </w:p>
        </w:tc>
        <w:tc>
          <w:tcPr>
            <w:tcW w:w="4800" w:type="pct"/>
          </w:tcPr>
          <w:p w:rsidR="00EE3251" w:rsidRDefault="00610B53">
            <w:pPr>
              <w:keepNext/>
              <w:keepLines/>
            </w:pPr>
            <w:r>
              <w:rPr>
                <w:rFonts w:ascii="Arial Unicode MS" w:eastAsia="Arial Unicode MS" w:hAnsi="Arial Unicode MS" w:cs="Arial Unicode MS"/>
                <w:color w:val="000000"/>
              </w:rPr>
              <w:t>The Marx Brewing Company recently installed a new bottling machine. The machine's initial cost is $2,000, and can</w:t>
            </w:r>
            <w:r>
              <w:rPr>
                <w:rFonts w:ascii="Arial Unicode MS" w:eastAsia="Arial Unicode MS" w:hAnsi="Arial Unicode MS" w:cs="Arial Unicode MS"/>
                <w:color w:val="000000"/>
              </w:rPr>
              <w:t xml:space="preserve"> be depreciated on a straight line basis to a zero salvage in 5 years. The machine's per year fixed cost is $1,800, and its variable cost is $0.50 per unit. The selling price per unit is $1.50. Marx's tax rate is 34%, and it uses a 16% discount rate. Calcu</w:t>
            </w:r>
            <w:r>
              <w:rPr>
                <w:rFonts w:ascii="Arial Unicode MS" w:eastAsia="Arial Unicode MS" w:hAnsi="Arial Unicode MS" w:cs="Arial Unicode MS"/>
                <w:color w:val="000000"/>
              </w:rPr>
              <w:t>late the accounting break-even point on the new machine, as well as the present value break-even point on the new machine.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19.</w:t>
            </w:r>
          </w:p>
        </w:tc>
        <w:tc>
          <w:tcPr>
            <w:tcW w:w="4800" w:type="pct"/>
          </w:tcPr>
          <w:p w:rsidR="00EE3251" w:rsidRDefault="00610B53">
            <w:pPr>
              <w:keepNext/>
              <w:keepLines/>
            </w:pPr>
            <w:r>
              <w:rPr>
                <w:rFonts w:ascii="Arial Unicode MS" w:eastAsia="Arial Unicode MS" w:hAnsi="Arial Unicode MS" w:cs="Arial Unicode MS"/>
                <w:color w:val="000000"/>
              </w:rPr>
              <w:t>The Marx Brewing Company recently installed a new bottling machine. The machine's initial cost is $2,000, and can</w:t>
            </w:r>
            <w:r>
              <w:rPr>
                <w:rFonts w:ascii="Arial Unicode MS" w:eastAsia="Arial Unicode MS" w:hAnsi="Arial Unicode MS" w:cs="Arial Unicode MS"/>
                <w:color w:val="000000"/>
              </w:rPr>
              <w:t xml:space="preserve"> be depreciated on a straight line basis to a zero salvage in 5 years. The machine's per year fixed cost is $1,800, and its variable cost is $0.50 per unit. The selling price per unit is $1.50. Marx's tax rate is 34%, and it uses a 16% discount rate. If Ma</w:t>
            </w:r>
            <w:r>
              <w:rPr>
                <w:rFonts w:ascii="Arial Unicode MS" w:eastAsia="Arial Unicode MS" w:hAnsi="Arial Unicode MS" w:cs="Arial Unicode MS"/>
                <w:color w:val="000000"/>
              </w:rPr>
              <w:t>rx sells 2500 units what is the accounting profit and contribution margin for Marx Brewing?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20.</w:t>
            </w:r>
          </w:p>
        </w:tc>
        <w:tc>
          <w:tcPr>
            <w:tcW w:w="4800" w:type="pct"/>
          </w:tcPr>
          <w:p w:rsidR="00EE3251" w:rsidRDefault="00610B53">
            <w:pPr>
              <w:keepNext/>
              <w:keepLines/>
            </w:pPr>
            <w:r>
              <w:rPr>
                <w:rFonts w:ascii="Arial Unicode MS" w:eastAsia="Arial Unicode MS" w:hAnsi="Arial Unicode MS" w:cs="Arial Unicode MS"/>
                <w:color w:val="000000"/>
              </w:rPr>
              <w:t xml:space="preserve">From the information below, calculate the impact of discount rate changes on the present-value break-even point. Fixed costs are $2500/year. </w:t>
            </w:r>
            <w:r>
              <w:rPr>
                <w:rFonts w:ascii="Arial Unicode MS" w:eastAsia="Arial Unicode MS" w:hAnsi="Arial Unicode MS" w:cs="Arial Unicode MS"/>
                <w:color w:val="000000"/>
              </w:rPr>
              <w:t>(Initial investment is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$8/unit.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$500/year.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$25/unit.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Initial Discount rate: 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4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If the discount rate were 15% and 5% what would be the present-value break-even points. How </w:t>
            </w:r>
            <w:r>
              <w:rPr>
                <w:rFonts w:ascii="Arial Unicode MS" w:eastAsia="Arial Unicode MS" w:hAnsi="Arial Unicode MS" w:cs="Arial Unicode MS"/>
                <w:color w:val="000000"/>
              </w:rPr>
              <w:t>sensitive is the break-even to the discount rate change (show your results).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21.</w:t>
            </w:r>
          </w:p>
        </w:tc>
        <w:tc>
          <w:tcPr>
            <w:tcW w:w="4800" w:type="pct"/>
          </w:tcPr>
          <w:p w:rsidR="00EE3251" w:rsidRDefault="00610B53">
            <w:pPr>
              <w:keepNext/>
              <w:keepLines/>
            </w:pPr>
            <w:r>
              <w:rPr>
                <w:rFonts w:ascii="Arial Unicode MS" w:eastAsia="Arial Unicode MS" w:hAnsi="Arial Unicode MS" w:cs="Arial Unicode MS"/>
                <w:color w:val="000000"/>
              </w:rPr>
              <w:t xml:space="preserve">Your company has a new project to be considered. You are given the following information on the best guess of related outcomes for the project. The cost of </w:t>
            </w:r>
            <w:r>
              <w:rPr>
                <w:rFonts w:ascii="Arial Unicode MS" w:eastAsia="Arial Unicode MS" w:hAnsi="Arial Unicode MS" w:cs="Arial Unicode MS"/>
                <w:color w:val="000000"/>
              </w:rPr>
              <w:t>developing and market testing the product over the next year is $225 million. If the test is successful, which has a 65% chance, the company will spend another $800 million to put the productive capabilities in place. The expected cashflows after tax for a</w:t>
            </w:r>
            <w:r>
              <w:rPr>
                <w:rFonts w:ascii="Arial Unicode MS" w:eastAsia="Arial Unicode MS" w:hAnsi="Arial Unicode MS" w:cs="Arial Unicode MS"/>
                <w:color w:val="000000"/>
              </w:rPr>
              <w:t xml:space="preserve"> successful project are $225 million each year for the next six years with a probability of .8; there is a 20% chance of a zero NPV. If the test fails the cashflows associated with continuing through the sixth year is $125 million per year after tax. The c</w:t>
            </w:r>
            <w:r>
              <w:rPr>
                <w:rFonts w:ascii="Arial Unicode MS" w:eastAsia="Arial Unicode MS" w:hAnsi="Arial Unicode MS" w:cs="Arial Unicode MS"/>
                <w:color w:val="000000"/>
              </w:rPr>
              <w:t>ompany uses a 12% discount rate for these types of projects. Draw and label the decision tree. Explain what decisions management would make at each node upon their realization.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22.</w:t>
            </w:r>
          </w:p>
        </w:tc>
        <w:tc>
          <w:tcPr>
            <w:tcW w:w="4800" w:type="pct"/>
          </w:tcPr>
          <w:p w:rsidR="00EE3251" w:rsidRDefault="00610B53">
            <w:pPr>
              <w:keepNext/>
              <w:keepLines/>
            </w:pPr>
            <w:r>
              <w:rPr>
                <w:rFonts w:ascii="Arial Unicode MS" w:eastAsia="Arial Unicode MS" w:hAnsi="Arial Unicode MS" w:cs="Arial Unicode MS"/>
                <w:color w:val="000000"/>
              </w:rPr>
              <w:t xml:space="preserve">Your company has a new project to be considered. You are </w:t>
            </w:r>
            <w:r>
              <w:rPr>
                <w:rFonts w:ascii="Arial Unicode MS" w:eastAsia="Arial Unicode MS" w:hAnsi="Arial Unicode MS" w:cs="Arial Unicode MS"/>
                <w:color w:val="000000"/>
              </w:rPr>
              <w:t xml:space="preserve">given the following information on the best guess of related outcomes for the project. The cost of developing and market testing the product over the next year is $225 million. If the test is successful, which is expected to be 65%, the company will spend </w:t>
            </w:r>
            <w:r>
              <w:rPr>
                <w:rFonts w:ascii="Arial Unicode MS" w:eastAsia="Arial Unicode MS" w:hAnsi="Arial Unicode MS" w:cs="Arial Unicode MS"/>
                <w:color w:val="000000"/>
              </w:rPr>
              <w:t>another $800 million to put the productive capabilities in place. The expected cashflows after tax for a successful project are $225 million each year for the next six years with a probability of .8; there is a 20% chance of a zero NPV. If the tests fail t</w:t>
            </w:r>
            <w:r>
              <w:rPr>
                <w:rFonts w:ascii="Arial Unicode MS" w:eastAsia="Arial Unicode MS" w:hAnsi="Arial Unicode MS" w:cs="Arial Unicode MS"/>
                <w:color w:val="000000"/>
              </w:rPr>
              <w:t>he cashflows associated with continuing through the sixth year is $125 million per year after tax. The company uses a 12% discount rate for these types of projects. Determine the net present value if the tests are a success. Determine the net present value</w:t>
            </w:r>
            <w:r>
              <w:rPr>
                <w:rFonts w:ascii="Arial Unicode MS" w:eastAsia="Arial Unicode MS" w:hAnsi="Arial Unicode MS" w:cs="Arial Unicode MS"/>
                <w:color w:val="000000"/>
              </w:rPr>
              <w:t xml:space="preserve"> and the decision to undertake testing or not.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23.</w:t>
            </w:r>
          </w:p>
        </w:tc>
        <w:tc>
          <w:tcPr>
            <w:tcW w:w="4800" w:type="pct"/>
          </w:tcPr>
          <w:p w:rsidR="00EE3251" w:rsidRDefault="00610B53">
            <w:pPr>
              <w:keepNext/>
              <w:keepLines/>
            </w:pPr>
            <w:r>
              <w:rPr>
                <w:rFonts w:ascii="Arial Unicode MS" w:eastAsia="Arial Unicode MS" w:hAnsi="Arial Unicode MS" w:cs="Arial Unicode MS"/>
                <w:color w:val="000000"/>
              </w:rPr>
              <w:t>Sensitivity analysis is a method which allows for evaluation of the NPV given a series of changes to the underlying assumptions. Discuss why and how scenario analysis is used in addition to</w:t>
            </w:r>
            <w:r>
              <w:rPr>
                <w:rFonts w:ascii="Arial Unicode MS" w:eastAsia="Arial Unicode MS" w:hAnsi="Arial Unicode MS" w:cs="Arial Unicode MS"/>
                <w:color w:val="000000"/>
              </w:rPr>
              <w:t xml:space="preserve"> sensitivity analysis.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EE3251" w:rsidRDefault="00610B53">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EE3251">
        <w:tc>
          <w:tcPr>
            <w:tcW w:w="200" w:type="pct"/>
          </w:tcPr>
          <w:p w:rsidR="00EE3251" w:rsidRDefault="00610B53">
            <w:pPr>
              <w:keepNext/>
              <w:keepLines/>
            </w:pPr>
            <w:r>
              <w:rPr>
                <w:rFonts w:ascii="Arial Unicode MS" w:eastAsia="Arial Unicode MS" w:hAnsi="Arial Unicode MS" w:cs="Arial Unicode MS"/>
                <w:color w:val="000000"/>
              </w:rPr>
              <w:t>24.</w:t>
            </w:r>
          </w:p>
        </w:tc>
        <w:tc>
          <w:tcPr>
            <w:tcW w:w="4800" w:type="pct"/>
          </w:tcPr>
          <w:p w:rsidR="00EE3251" w:rsidRDefault="00610B53">
            <w:pPr>
              <w:keepNext/>
              <w:keepLines/>
            </w:pPr>
            <w:r>
              <w:rPr>
                <w:rFonts w:ascii="Arial Unicode MS" w:eastAsia="Arial Unicode MS" w:hAnsi="Arial Unicode MS" w:cs="Arial Unicode MS"/>
                <w:color w:val="000000"/>
              </w:rPr>
              <w:t xml:space="preserve">The market value of an investment project should be viewed as the sum of the standard NPV and the value of managerial options. Explain two different options that management may have, what they are, and how they </w:t>
            </w:r>
            <w:r>
              <w:rPr>
                <w:rFonts w:ascii="Arial Unicode MS" w:eastAsia="Arial Unicode MS" w:hAnsi="Arial Unicode MS" w:cs="Arial Unicode MS"/>
                <w:color w:val="000000"/>
              </w:rPr>
              <w:t>would influence market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EE3251" w:rsidRDefault="00610B53">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EE3251" w:rsidRDefault="00610B53">
      <w:pPr>
        <w:keepLines/>
      </w:pPr>
      <w:r>
        <w:rPr>
          <w:rFonts w:ascii="Arial Unicode MS" w:eastAsia="Arial Unicode MS" w:hAnsi="Arial Unicode MS" w:cs="Arial Unicode MS"/>
          <w:color w:val="000000"/>
          <w:sz w:val="18"/>
        </w:rPr>
        <w:t> </w:t>
      </w:r>
    </w:p>
    <w:p w:rsidR="00EE3251" w:rsidRDefault="00610B53">
      <w:pPr>
        <w:spacing w:before="239" w:after="239"/>
        <w:sectPr w:rsidR="00EE3251">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EE3251" w:rsidRDefault="00610B53">
      <w:pPr>
        <w:spacing w:before="532"/>
        <w:jc w:val="center"/>
      </w:pPr>
      <w:r>
        <w:rPr>
          <w:rFonts w:ascii="Arial Unicode MS" w:eastAsia="Arial Unicode MS" w:hAnsi="Arial Unicode MS" w:cs="Arial Unicode MS"/>
          <w:color w:val="000000"/>
          <w:sz w:val="40"/>
        </w:rPr>
        <w:t xml:space="preserve">9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w:t>
            </w:r>
          </w:p>
        </w:tc>
        <w:tc>
          <w:tcPr>
            <w:tcW w:w="4650" w:type="pct"/>
          </w:tcPr>
          <w:p w:rsidR="00EE3251" w:rsidRDefault="00610B53">
            <w:pPr>
              <w:keepNext/>
              <w:keepLines/>
            </w:pPr>
            <w:r>
              <w:rPr>
                <w:rFonts w:ascii="Arial Unicode MS" w:eastAsia="Arial Unicode MS" w:hAnsi="Arial Unicode MS" w:cs="Arial Unicode MS"/>
                <w:color w:val="000000"/>
              </w:rPr>
              <w:t>In order to make a decision with a decision tree: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883"/>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one starts furthest out in time to make the first decision.</w:t>
                  </w:r>
                </w:p>
              </w:tc>
            </w:tr>
          </w:tbl>
          <w:p w:rsidR="00EE3251" w:rsidRDefault="00EE3251">
            <w:pPr>
              <w:keepNext/>
              <w:keepLines/>
              <w:rPr>
                <w:sz w:val="2"/>
              </w:rPr>
            </w:pPr>
          </w:p>
          <w:tbl>
            <w:tblPr>
              <w:tblW w:w="0" w:type="auto"/>
              <w:tblCellMar>
                <w:left w:w="0" w:type="dxa"/>
                <w:right w:w="0" w:type="dxa"/>
              </w:tblCellMar>
              <w:tblLook w:val="04A0"/>
            </w:tblPr>
            <w:tblGrid>
              <w:gridCol w:w="308"/>
              <w:gridCol w:w="2749"/>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One must begin at time 0.</w:t>
                  </w:r>
                </w:p>
              </w:tc>
            </w:tr>
          </w:tbl>
          <w:p w:rsidR="00EE3251" w:rsidRDefault="00EE3251">
            <w:pPr>
              <w:keepNext/>
              <w:keepLines/>
              <w:rPr>
                <w:sz w:val="2"/>
              </w:rPr>
            </w:pPr>
          </w:p>
          <w:tbl>
            <w:tblPr>
              <w:tblW w:w="0" w:type="auto"/>
              <w:tblCellMar>
                <w:left w:w="0" w:type="dxa"/>
                <w:right w:w="0" w:type="dxa"/>
              </w:tblCellMar>
              <w:tblLook w:val="04A0"/>
            </w:tblPr>
            <w:tblGrid>
              <w:gridCol w:w="308"/>
              <w:gridCol w:w="4257"/>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Any path can be taken to get to </w:t>
                  </w:r>
                  <w:r>
                    <w:rPr>
                      <w:rFonts w:ascii="Arial Unicode MS" w:eastAsia="Arial Unicode MS" w:hAnsi="Arial Unicode MS" w:cs="Arial Unicode MS"/>
                      <w:color w:val="000000"/>
                    </w:rPr>
                    <w:t>the end.</w:t>
                  </w:r>
                </w:p>
              </w:tc>
            </w:tr>
          </w:tbl>
          <w:p w:rsidR="00EE3251" w:rsidRDefault="00EE3251">
            <w:pPr>
              <w:keepNext/>
              <w:keepLines/>
              <w:rPr>
                <w:sz w:val="2"/>
              </w:rPr>
            </w:pPr>
          </w:p>
          <w:tbl>
            <w:tblPr>
              <w:tblW w:w="0" w:type="auto"/>
              <w:tblCellMar>
                <w:left w:w="0" w:type="dxa"/>
                <w:right w:w="0" w:type="dxa"/>
              </w:tblCellMar>
              <w:tblLook w:val="04A0"/>
            </w:tblPr>
            <w:tblGrid>
              <w:gridCol w:w="308"/>
              <w:gridCol w:w="5471"/>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Any path can be taken to get back to the beginning.</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2.</w:t>
            </w:r>
          </w:p>
        </w:tc>
        <w:tc>
          <w:tcPr>
            <w:tcW w:w="4650" w:type="pct"/>
          </w:tcPr>
          <w:p w:rsidR="00EE3251" w:rsidRDefault="00610B53">
            <w:pPr>
              <w:keepNext/>
              <w:keepLines/>
            </w:pPr>
            <w:r>
              <w:rPr>
                <w:rFonts w:ascii="Arial Unicode MS" w:eastAsia="Arial Unicode MS" w:hAnsi="Arial Unicode MS" w:cs="Arial Unicode MS"/>
                <w:color w:val="000000"/>
              </w:rPr>
              <w:t xml:space="preserve">At stage 2 of the decision tree it shows that if a project is successful the payoff will be $53,000 with a 2/3 </w:t>
            </w:r>
            <w:r>
              <w:rPr>
                <w:rFonts w:ascii="Arial Unicode MS" w:eastAsia="Arial Unicode MS" w:hAnsi="Arial Unicode MS" w:cs="Arial Unicode MS"/>
                <w:color w:val="000000"/>
              </w:rPr>
              <w:t>chance of occurrence. There is also the 1/3 chance of a -$24,000 payoff. The cost of getting to stage 2 (1 year out) is $44,000. The cost of capital is 15%. What is the NPV of the project at stage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48"/>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-$13,275</w:t>
                  </w:r>
                </w:p>
              </w:tc>
            </w:tr>
          </w:tbl>
          <w:p w:rsidR="00EE3251" w:rsidRDefault="00EE3251">
            <w:pPr>
              <w:keepNext/>
              <w:keepLines/>
              <w:rPr>
                <w:sz w:val="2"/>
              </w:rPr>
            </w:pPr>
          </w:p>
          <w:tbl>
            <w:tblPr>
              <w:tblW w:w="0" w:type="auto"/>
              <w:tblCellMar>
                <w:left w:w="0" w:type="dxa"/>
                <w:right w:w="0" w:type="dxa"/>
              </w:tblCellMar>
              <w:tblLook w:val="04A0"/>
            </w:tblPr>
            <w:tblGrid>
              <w:gridCol w:w="334"/>
              <w:gridCol w:w="948"/>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-$20,232</w:t>
                  </w:r>
                </w:p>
              </w:tc>
            </w:tr>
          </w:tbl>
          <w:p w:rsidR="00EE3251" w:rsidRDefault="00EE3251">
            <w:pPr>
              <w:keepNext/>
              <w:keepLines/>
              <w:rPr>
                <w:sz w:val="2"/>
              </w:rPr>
            </w:pPr>
          </w:p>
          <w:tbl>
            <w:tblPr>
              <w:tblW w:w="0" w:type="auto"/>
              <w:tblCellMar>
                <w:left w:w="0" w:type="dxa"/>
                <w:right w:w="0" w:type="dxa"/>
              </w:tblCellMar>
              <w:tblLook w:val="04A0"/>
            </w:tblPr>
            <w:tblGrid>
              <w:gridCol w:w="308"/>
              <w:gridCol w:w="735"/>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$2,087</w:t>
                  </w:r>
                </w:p>
              </w:tc>
            </w:tr>
          </w:tbl>
          <w:p w:rsidR="00EE3251" w:rsidRDefault="00EE3251">
            <w:pPr>
              <w:keepNext/>
              <w:keepLines/>
              <w:rPr>
                <w:sz w:val="2"/>
              </w:rPr>
            </w:pPr>
          </w:p>
          <w:tbl>
            <w:tblPr>
              <w:tblW w:w="0" w:type="auto"/>
              <w:tblCellMar>
                <w:left w:w="0" w:type="dxa"/>
                <w:right w:w="0" w:type="dxa"/>
              </w:tblCellMar>
              <w:tblLook w:val="04A0"/>
            </w:tblPr>
            <w:tblGrid>
              <w:gridCol w:w="308"/>
              <w:gridCol w:w="735"/>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$7,536</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3.</w:t>
            </w:r>
          </w:p>
        </w:tc>
        <w:tc>
          <w:tcPr>
            <w:tcW w:w="4650" w:type="pct"/>
          </w:tcPr>
          <w:p w:rsidR="00EE3251" w:rsidRDefault="00610B53">
            <w:pPr>
              <w:keepNext/>
              <w:keepLines/>
            </w:pPr>
            <w:r>
              <w:rPr>
                <w:rFonts w:ascii="Arial Unicode MS" w:eastAsia="Arial Unicode MS" w:hAnsi="Arial Unicode MS" w:cs="Arial Unicode MS"/>
                <w:color w:val="000000"/>
              </w:rPr>
              <w:t>In a decision tree, the NPV to make the yes/no decision is dependent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296"/>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only the cashflows from successful path.</w:t>
                  </w:r>
                </w:p>
              </w:tc>
            </w:tr>
          </w:tbl>
          <w:p w:rsidR="00EE3251" w:rsidRDefault="00EE3251">
            <w:pPr>
              <w:keepNext/>
              <w:keepLines/>
              <w:rPr>
                <w:sz w:val="2"/>
              </w:rPr>
            </w:pPr>
          </w:p>
          <w:tbl>
            <w:tblPr>
              <w:tblW w:w="0" w:type="auto"/>
              <w:tblCellMar>
                <w:left w:w="0" w:type="dxa"/>
                <w:right w:w="0" w:type="dxa"/>
              </w:tblCellMar>
              <w:tblLook w:val="04A0"/>
            </w:tblPr>
            <w:tblGrid>
              <w:gridCol w:w="308"/>
              <w:gridCol w:w="5271"/>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on the path where the probabilities add up to</w:t>
                  </w:r>
                  <w:r>
                    <w:rPr>
                      <w:rFonts w:ascii="Arial Unicode MS" w:eastAsia="Arial Unicode MS" w:hAnsi="Arial Unicode MS" w:cs="Arial Unicode MS"/>
                      <w:color w:val="000000"/>
                    </w:rPr>
                    <w:t xml:space="preserve"> one.</w:t>
                  </w:r>
                </w:p>
              </w:tc>
            </w:tr>
          </w:tbl>
          <w:p w:rsidR="00EE3251" w:rsidRDefault="00EE3251">
            <w:pPr>
              <w:keepNext/>
              <w:keepLines/>
              <w:rPr>
                <w:sz w:val="2"/>
              </w:rPr>
            </w:pPr>
          </w:p>
          <w:tbl>
            <w:tblPr>
              <w:tblW w:w="0" w:type="auto"/>
              <w:tblCellMar>
                <w:left w:w="0" w:type="dxa"/>
                <w:right w:w="0" w:type="dxa"/>
              </w:tblCellMar>
              <w:tblLook w:val="04A0"/>
            </w:tblPr>
            <w:tblGrid>
              <w:gridCol w:w="347"/>
              <w:gridCol w:w="3242"/>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all cashflows and probabilities.</w:t>
                  </w:r>
                </w:p>
              </w:tc>
            </w:tr>
          </w:tbl>
          <w:p w:rsidR="00EE3251" w:rsidRDefault="00EE3251">
            <w:pPr>
              <w:keepNext/>
              <w:keepLines/>
              <w:rPr>
                <w:sz w:val="2"/>
              </w:rPr>
            </w:pPr>
          </w:p>
          <w:tbl>
            <w:tblPr>
              <w:tblW w:w="0" w:type="auto"/>
              <w:tblCellMar>
                <w:left w:w="0" w:type="dxa"/>
                <w:right w:w="0" w:type="dxa"/>
              </w:tblCellMar>
              <w:tblLook w:val="04A0"/>
            </w:tblPr>
            <w:tblGrid>
              <w:gridCol w:w="308"/>
              <w:gridCol w:w="6231"/>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only the cashflows and probabilities of the successful path.</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4.</w:t>
            </w:r>
          </w:p>
        </w:tc>
        <w:tc>
          <w:tcPr>
            <w:tcW w:w="4650" w:type="pct"/>
          </w:tcPr>
          <w:p w:rsidR="00EE3251" w:rsidRDefault="00610B53">
            <w:pPr>
              <w:keepNext/>
              <w:keepLines/>
            </w:pPr>
            <w:r>
              <w:rPr>
                <w:rFonts w:ascii="Arial Unicode MS" w:eastAsia="Arial Unicode MS" w:hAnsi="Arial Unicode MS" w:cs="Arial Unicode MS"/>
                <w:color w:val="000000"/>
              </w:rPr>
              <w:t>Sensitivity analysis helps you determine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298"/>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range of </w:t>
                  </w:r>
                  <w:r>
                    <w:rPr>
                      <w:rFonts w:ascii="Arial Unicode MS" w:eastAsia="Arial Unicode MS" w:hAnsi="Arial Unicode MS" w:cs="Arial Unicode MS"/>
                      <w:color w:val="000000"/>
                    </w:rPr>
                    <w:t>possible outcomes given possible ranges for every variable.</w:t>
                  </w:r>
                </w:p>
              </w:tc>
            </w:tr>
          </w:tbl>
          <w:p w:rsidR="00EE3251" w:rsidRDefault="00EE3251">
            <w:pPr>
              <w:keepNext/>
              <w:keepLines/>
              <w:rPr>
                <w:sz w:val="2"/>
              </w:rPr>
            </w:pPr>
          </w:p>
          <w:tbl>
            <w:tblPr>
              <w:tblW w:w="0" w:type="auto"/>
              <w:tblCellMar>
                <w:left w:w="0" w:type="dxa"/>
                <w:right w:w="0" w:type="dxa"/>
              </w:tblCellMar>
              <w:tblLook w:val="04A0"/>
            </w:tblPr>
            <w:tblGrid>
              <w:gridCol w:w="334"/>
              <w:gridCol w:w="8085"/>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degree to which the net present value reacts to changes in a single variable.</w:t>
                  </w:r>
                </w:p>
              </w:tc>
            </w:tr>
          </w:tbl>
          <w:p w:rsidR="00EE3251" w:rsidRDefault="00EE3251">
            <w:pPr>
              <w:keepNext/>
              <w:keepLines/>
              <w:rPr>
                <w:sz w:val="2"/>
              </w:rPr>
            </w:pPr>
          </w:p>
          <w:tbl>
            <w:tblPr>
              <w:tblW w:w="0" w:type="auto"/>
              <w:tblCellMar>
                <w:left w:w="0" w:type="dxa"/>
                <w:right w:w="0" w:type="dxa"/>
              </w:tblCellMar>
              <w:tblLook w:val="04A0"/>
            </w:tblPr>
            <w:tblGrid>
              <w:gridCol w:w="308"/>
              <w:gridCol w:w="7005"/>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net present value given the best and the worst possible situations.</w:t>
                  </w:r>
                </w:p>
              </w:tc>
            </w:tr>
          </w:tbl>
          <w:p w:rsidR="00EE3251" w:rsidRDefault="00EE3251">
            <w:pPr>
              <w:keepNext/>
              <w:keepLines/>
              <w:rPr>
                <w:sz w:val="2"/>
              </w:rPr>
            </w:pPr>
          </w:p>
          <w:tbl>
            <w:tblPr>
              <w:tblW w:w="0" w:type="auto"/>
              <w:tblCellMar>
                <w:left w:w="0" w:type="dxa"/>
                <w:right w:w="0" w:type="dxa"/>
              </w:tblCellMar>
              <w:tblLook w:val="04A0"/>
            </w:tblPr>
            <w:tblGrid>
              <w:gridCol w:w="308"/>
              <w:gridCol w:w="5910"/>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degree to which a project is rel</w:t>
                  </w:r>
                  <w:r>
                    <w:rPr>
                      <w:rFonts w:ascii="Arial Unicode MS" w:eastAsia="Arial Unicode MS" w:hAnsi="Arial Unicode MS" w:cs="Arial Unicode MS"/>
                      <w:color w:val="000000"/>
                    </w:rPr>
                    <w:t>iant upon the fixed costs.</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5.</w:t>
            </w:r>
          </w:p>
        </w:tc>
        <w:tc>
          <w:tcPr>
            <w:tcW w:w="4650" w:type="pct"/>
          </w:tcPr>
          <w:p w:rsidR="00EE3251" w:rsidRDefault="00610B53">
            <w:pPr>
              <w:keepNext/>
              <w:keepLines/>
            </w:pPr>
            <w:r>
              <w:rPr>
                <w:rFonts w:ascii="Arial Unicode MS" w:eastAsia="Arial Unicode MS" w:hAnsi="Arial Unicode MS" w:cs="Arial Unicode MS"/>
                <w:color w:val="000000"/>
              </w:rPr>
              <w:t>As the degree of sensitivity of a project to a single variable rises,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76"/>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lower the forecasting risk of the project.</w:t>
                  </w:r>
                </w:p>
              </w:tc>
            </w:tr>
          </w:tbl>
          <w:p w:rsidR="00EE3251" w:rsidRDefault="00EE3251">
            <w:pPr>
              <w:keepNext/>
              <w:keepLines/>
              <w:rPr>
                <w:sz w:val="2"/>
              </w:rPr>
            </w:pPr>
          </w:p>
          <w:tbl>
            <w:tblPr>
              <w:tblW w:w="0" w:type="auto"/>
              <w:tblCellMar>
                <w:left w:w="0" w:type="dxa"/>
                <w:right w:w="0" w:type="dxa"/>
              </w:tblCellMar>
              <w:tblLook w:val="04A0"/>
            </w:tblPr>
            <w:tblGrid>
              <w:gridCol w:w="308"/>
              <w:gridCol w:w="9406"/>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smaller the range of </w:t>
                  </w:r>
                  <w:r>
                    <w:rPr>
                      <w:rFonts w:ascii="Arial Unicode MS" w:eastAsia="Arial Unicode MS" w:hAnsi="Arial Unicode MS" w:cs="Arial Unicode MS"/>
                      <w:color w:val="000000"/>
                    </w:rPr>
                    <w:t>possible outcomes given a pre-defined range of values for the input.</w:t>
                  </w:r>
                </w:p>
              </w:tc>
            </w:tr>
          </w:tbl>
          <w:p w:rsidR="00EE3251" w:rsidRDefault="00EE3251">
            <w:pPr>
              <w:keepNext/>
              <w:keepLines/>
              <w:rPr>
                <w:sz w:val="2"/>
              </w:rPr>
            </w:pPr>
          </w:p>
          <w:tbl>
            <w:tblPr>
              <w:tblW w:w="0" w:type="auto"/>
              <w:tblCellMar>
                <w:left w:w="0" w:type="dxa"/>
                <w:right w:w="0" w:type="dxa"/>
              </w:tblCellMar>
              <w:tblLook w:val="04A0"/>
            </w:tblPr>
            <w:tblGrid>
              <w:gridCol w:w="347"/>
              <w:gridCol w:w="9697"/>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more attention management should place on accurately forecasting the future value of that variable.</w:t>
                  </w:r>
                </w:p>
              </w:tc>
            </w:tr>
          </w:tbl>
          <w:p w:rsidR="00EE3251" w:rsidRDefault="00EE3251">
            <w:pPr>
              <w:keepNext/>
              <w:keepLines/>
              <w:rPr>
                <w:sz w:val="2"/>
              </w:rPr>
            </w:pPr>
          </w:p>
          <w:tbl>
            <w:tblPr>
              <w:tblW w:w="0" w:type="auto"/>
              <w:tblCellMar>
                <w:left w:w="0" w:type="dxa"/>
                <w:right w:w="0" w:type="dxa"/>
              </w:tblCellMar>
              <w:tblLook w:val="04A0"/>
            </w:tblPr>
            <w:tblGrid>
              <w:gridCol w:w="308"/>
              <w:gridCol w:w="5216"/>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lower the maximum potential value of the project.</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6.</w:t>
            </w:r>
          </w:p>
        </w:tc>
        <w:tc>
          <w:tcPr>
            <w:tcW w:w="4650" w:type="pct"/>
          </w:tcPr>
          <w:p w:rsidR="00EE3251" w:rsidRDefault="00610B53">
            <w:pPr>
              <w:keepNext/>
              <w:keepLines/>
            </w:pPr>
            <w:r>
              <w:rPr>
                <w:rFonts w:ascii="Arial Unicode MS" w:eastAsia="Arial Unicode MS" w:hAnsi="Arial Unicode MS" w:cs="Arial Unicode MS"/>
                <w:color w:val="000000"/>
              </w:rPr>
              <w:t>Fixed production costs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22"/>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directly related to labor costs.</w:t>
                  </w:r>
                </w:p>
              </w:tc>
            </w:tr>
          </w:tbl>
          <w:p w:rsidR="00EE3251" w:rsidRDefault="00EE3251">
            <w:pPr>
              <w:keepNext/>
              <w:keepLines/>
              <w:rPr>
                <w:sz w:val="2"/>
              </w:rPr>
            </w:pPr>
          </w:p>
          <w:tbl>
            <w:tblPr>
              <w:tblW w:w="0" w:type="auto"/>
              <w:tblCellMar>
                <w:left w:w="0" w:type="dxa"/>
                <w:right w:w="0" w:type="dxa"/>
              </w:tblCellMar>
              <w:tblLook w:val="04A0"/>
            </w:tblPr>
            <w:tblGrid>
              <w:gridCol w:w="334"/>
              <w:gridCol w:w="3615"/>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measured as cost per unit of time.</w:t>
                  </w:r>
                </w:p>
              </w:tc>
            </w:tr>
          </w:tbl>
          <w:p w:rsidR="00EE3251" w:rsidRDefault="00EE3251">
            <w:pPr>
              <w:keepNext/>
              <w:keepLines/>
              <w:rPr>
                <w:sz w:val="2"/>
              </w:rPr>
            </w:pPr>
          </w:p>
          <w:tbl>
            <w:tblPr>
              <w:tblW w:w="0" w:type="auto"/>
              <w:tblCellMar>
                <w:left w:w="0" w:type="dxa"/>
                <w:right w:w="0" w:type="dxa"/>
              </w:tblCellMar>
              <w:tblLook w:val="04A0"/>
            </w:tblPr>
            <w:tblGrid>
              <w:gridCol w:w="308"/>
              <w:gridCol w:w="3829"/>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measured as cost per unit of output.</w:t>
                  </w:r>
                </w:p>
              </w:tc>
            </w:tr>
          </w:tbl>
          <w:p w:rsidR="00EE3251" w:rsidRDefault="00EE3251">
            <w:pPr>
              <w:keepNext/>
              <w:keepLines/>
              <w:rPr>
                <w:sz w:val="2"/>
              </w:rPr>
            </w:pPr>
          </w:p>
          <w:tbl>
            <w:tblPr>
              <w:tblW w:w="0" w:type="auto"/>
              <w:tblCellMar>
                <w:left w:w="0" w:type="dxa"/>
                <w:right w:w="0" w:type="dxa"/>
              </w:tblCellMar>
              <w:tblLook w:val="04A0"/>
            </w:tblPr>
            <w:tblGrid>
              <w:gridCol w:w="308"/>
              <w:gridCol w:w="6085"/>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dependent on the amount of goods or </w:t>
                  </w:r>
                  <w:r>
                    <w:rPr>
                      <w:rFonts w:ascii="Arial Unicode MS" w:eastAsia="Arial Unicode MS" w:hAnsi="Arial Unicode MS" w:cs="Arial Unicode MS"/>
                      <w:color w:val="000000"/>
                    </w:rPr>
                    <w:t>services produced.</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7.</w:t>
            </w:r>
          </w:p>
        </w:tc>
        <w:tc>
          <w:tcPr>
            <w:tcW w:w="4650" w:type="pct"/>
          </w:tcPr>
          <w:p w:rsidR="00EE3251" w:rsidRDefault="00610B53">
            <w:pPr>
              <w:keepNext/>
              <w:keepLines/>
            </w:pPr>
            <w:r>
              <w:rPr>
                <w:rFonts w:ascii="Arial Unicode MS" w:eastAsia="Arial Unicode MS" w:hAnsi="Arial Unicode MS" w:cs="Arial Unicode MS"/>
                <w:color w:val="000000"/>
              </w:rPr>
              <w:t>An investigation of the degree to which NPV depends on assumptions made about critical variables is called 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35"/>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operating analysis</w:t>
                  </w:r>
                </w:p>
              </w:tc>
            </w:tr>
          </w:tbl>
          <w:p w:rsidR="00EE3251" w:rsidRDefault="00EE3251">
            <w:pPr>
              <w:keepNext/>
              <w:keepLines/>
              <w:rPr>
                <w:sz w:val="2"/>
              </w:rPr>
            </w:pPr>
          </w:p>
          <w:tbl>
            <w:tblPr>
              <w:tblW w:w="0" w:type="auto"/>
              <w:tblCellMar>
                <w:left w:w="0" w:type="dxa"/>
                <w:right w:w="0" w:type="dxa"/>
              </w:tblCellMar>
              <w:tblLook w:val="04A0"/>
            </w:tblPr>
            <w:tblGrid>
              <w:gridCol w:w="334"/>
              <w:gridCol w:w="1975"/>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sensitivity </w:t>
                  </w:r>
                  <w:r>
                    <w:rPr>
                      <w:rFonts w:ascii="Arial Unicode MS" w:eastAsia="Arial Unicode MS" w:hAnsi="Arial Unicode MS" w:cs="Arial Unicode MS"/>
                      <w:color w:val="000000"/>
                    </w:rPr>
                    <w:t>analysis</w:t>
                  </w:r>
                </w:p>
              </w:tc>
            </w:tr>
          </w:tbl>
          <w:p w:rsidR="00EE3251" w:rsidRDefault="00EE3251">
            <w:pPr>
              <w:keepNext/>
              <w:keepLines/>
              <w:rPr>
                <w:sz w:val="2"/>
              </w:rPr>
            </w:pPr>
          </w:p>
          <w:tbl>
            <w:tblPr>
              <w:tblW w:w="0" w:type="auto"/>
              <w:tblCellMar>
                <w:left w:w="0" w:type="dxa"/>
                <w:right w:w="0" w:type="dxa"/>
              </w:tblCellMar>
              <w:tblLook w:val="04A0"/>
            </w:tblPr>
            <w:tblGrid>
              <w:gridCol w:w="308"/>
              <w:gridCol w:w="2642"/>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marginal benefit analysis</w:t>
                  </w:r>
                </w:p>
              </w:tc>
            </w:tr>
          </w:tbl>
          <w:p w:rsidR="00EE3251" w:rsidRDefault="00EE3251">
            <w:pPr>
              <w:keepNext/>
              <w:keepLines/>
              <w:rPr>
                <w:sz w:val="2"/>
              </w:rPr>
            </w:pPr>
          </w:p>
          <w:tbl>
            <w:tblPr>
              <w:tblW w:w="0" w:type="auto"/>
              <w:tblCellMar>
                <w:left w:w="0" w:type="dxa"/>
                <w:right w:w="0" w:type="dxa"/>
              </w:tblCellMar>
              <w:tblLook w:val="04A0"/>
            </w:tblPr>
            <w:tblGrid>
              <w:gridCol w:w="308"/>
              <w:gridCol w:w="2362"/>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decision tree analysis.</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8.</w:t>
            </w:r>
          </w:p>
        </w:tc>
        <w:tc>
          <w:tcPr>
            <w:tcW w:w="4650" w:type="pct"/>
          </w:tcPr>
          <w:p w:rsidR="00EE3251" w:rsidRDefault="00610B53">
            <w:pPr>
              <w:keepNext/>
              <w:keepLines/>
            </w:pPr>
            <w:r>
              <w:rPr>
                <w:rFonts w:ascii="Arial Unicode MS" w:eastAsia="Arial Unicode MS" w:hAnsi="Arial Unicode MS" w:cs="Arial Unicode MS"/>
                <w:color w:val="000000"/>
              </w:rPr>
              <w:t>Scenario analysis is different than sensitivity analysis: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190"/>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as no economic forecasts are changed.</w:t>
                  </w:r>
                </w:p>
              </w:tc>
            </w:tr>
          </w:tbl>
          <w:p w:rsidR="00EE3251" w:rsidRDefault="00EE3251">
            <w:pPr>
              <w:keepNext/>
              <w:keepLines/>
              <w:rPr>
                <w:sz w:val="2"/>
              </w:rPr>
            </w:pPr>
          </w:p>
          <w:tbl>
            <w:tblPr>
              <w:tblW w:w="0" w:type="auto"/>
              <w:tblCellMar>
                <w:left w:w="0" w:type="dxa"/>
                <w:right w:w="0" w:type="dxa"/>
              </w:tblCellMar>
              <w:tblLook w:val="04A0"/>
            </w:tblPr>
            <w:tblGrid>
              <w:gridCol w:w="334"/>
              <w:gridCol w:w="4537"/>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as several variables are changed together.</w:t>
                  </w:r>
                </w:p>
              </w:tc>
            </w:tr>
          </w:tbl>
          <w:p w:rsidR="00EE3251" w:rsidRDefault="00EE3251">
            <w:pPr>
              <w:keepNext/>
              <w:keepLines/>
              <w:rPr>
                <w:sz w:val="2"/>
              </w:rPr>
            </w:pPr>
          </w:p>
          <w:tbl>
            <w:tblPr>
              <w:tblW w:w="0" w:type="auto"/>
              <w:tblCellMar>
                <w:left w:w="0" w:type="dxa"/>
                <w:right w:w="0" w:type="dxa"/>
              </w:tblCellMar>
              <w:tblLook w:val="04A0"/>
            </w:tblPr>
            <w:tblGrid>
              <w:gridCol w:w="308"/>
              <w:gridCol w:w="9736"/>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because scenario analysis deals with actual data versus sensitivity analysis which deals with a forecast.</w:t>
                  </w:r>
                </w:p>
              </w:tc>
            </w:tr>
          </w:tbl>
          <w:p w:rsidR="00EE3251" w:rsidRDefault="00EE3251">
            <w:pPr>
              <w:keepNext/>
              <w:keepLines/>
              <w:rPr>
                <w:sz w:val="2"/>
              </w:rPr>
            </w:pPr>
          </w:p>
          <w:tbl>
            <w:tblPr>
              <w:tblW w:w="0" w:type="auto"/>
              <w:tblCellMar>
                <w:left w:w="0" w:type="dxa"/>
                <w:right w:w="0" w:type="dxa"/>
              </w:tblCellMar>
              <w:tblLook w:val="04A0"/>
            </w:tblPr>
            <w:tblGrid>
              <w:gridCol w:w="308"/>
              <w:gridCol w:w="3229"/>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because it is short and simple.</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09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9.</w:t>
            </w:r>
          </w:p>
        </w:tc>
        <w:tc>
          <w:tcPr>
            <w:tcW w:w="4650" w:type="pct"/>
          </w:tcPr>
          <w:p w:rsidR="00EE3251" w:rsidRDefault="00610B53">
            <w:pPr>
              <w:keepNext/>
              <w:keepLines/>
            </w:pPr>
            <w:r>
              <w:rPr>
                <w:rFonts w:ascii="Arial Unicode MS" w:eastAsia="Arial Unicode MS" w:hAnsi="Arial Unicode MS" w:cs="Arial Unicode MS"/>
                <w:color w:val="000000"/>
              </w:rPr>
              <w:t>The accounting profit break-even point occurs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097"/>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the total revenue curve cuts the total cost curve.</w:t>
                  </w:r>
                </w:p>
              </w:tc>
            </w:tr>
          </w:tbl>
          <w:p w:rsidR="00EE3251" w:rsidRDefault="00EE3251">
            <w:pPr>
              <w:keepNext/>
              <w:keepLines/>
              <w:rPr>
                <w:sz w:val="2"/>
              </w:rPr>
            </w:pPr>
          </w:p>
          <w:tbl>
            <w:tblPr>
              <w:tblW w:w="0" w:type="auto"/>
              <w:tblCellMar>
                <w:left w:w="0" w:type="dxa"/>
                <w:right w:w="0" w:type="dxa"/>
              </w:tblCellMar>
              <w:tblLook w:val="04A0"/>
            </w:tblPr>
            <w:tblGrid>
              <w:gridCol w:w="308"/>
              <w:gridCol w:w="5150"/>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the total revenue curve cuts the fixed cost curve.</w:t>
                  </w:r>
                </w:p>
              </w:tc>
            </w:tr>
          </w:tbl>
          <w:p w:rsidR="00EE3251" w:rsidRDefault="00EE3251">
            <w:pPr>
              <w:keepNext/>
              <w:keepLines/>
              <w:rPr>
                <w:sz w:val="2"/>
              </w:rPr>
            </w:pPr>
          </w:p>
          <w:tbl>
            <w:tblPr>
              <w:tblW w:w="0" w:type="auto"/>
              <w:tblCellMar>
                <w:left w:w="0" w:type="dxa"/>
                <w:right w:w="0" w:type="dxa"/>
              </w:tblCellMar>
              <w:tblLook w:val="04A0"/>
            </w:tblPr>
            <w:tblGrid>
              <w:gridCol w:w="308"/>
              <w:gridCol w:w="5056"/>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the variable cost curve cuts the total cost curve.</w:t>
                  </w:r>
                </w:p>
              </w:tc>
            </w:tr>
          </w:tbl>
          <w:p w:rsidR="00EE3251" w:rsidRDefault="00EE3251">
            <w:pPr>
              <w:keepNext/>
              <w:keepLines/>
              <w:rPr>
                <w:sz w:val="2"/>
              </w:rPr>
            </w:pPr>
          </w:p>
          <w:tbl>
            <w:tblPr>
              <w:tblW w:w="0" w:type="auto"/>
              <w:tblCellMar>
                <w:left w:w="0" w:type="dxa"/>
                <w:right w:w="0" w:type="dxa"/>
              </w:tblCellMar>
              <w:tblLook w:val="04A0"/>
            </w:tblPr>
            <w:tblGrid>
              <w:gridCol w:w="308"/>
              <w:gridCol w:w="5483"/>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total revenue curve cuts the variable cost curve.</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10.</w:t>
            </w:r>
          </w:p>
        </w:tc>
        <w:tc>
          <w:tcPr>
            <w:tcW w:w="4650" w:type="pct"/>
          </w:tcPr>
          <w:p w:rsidR="00EE3251" w:rsidRDefault="00610B53">
            <w:pPr>
              <w:keepNext/>
              <w:keepLines/>
            </w:pPr>
            <w:r>
              <w:rPr>
                <w:rFonts w:ascii="Arial Unicode MS" w:eastAsia="Arial Unicode MS" w:hAnsi="Arial Unicode MS" w:cs="Arial Unicode MS"/>
                <w:color w:val="000000"/>
              </w:rPr>
              <w:t>In the present-value break-even the EAC is used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790"/>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determine the opportunity cost of investment.</w:t>
                  </w:r>
                </w:p>
              </w:tc>
            </w:tr>
          </w:tbl>
          <w:p w:rsidR="00EE3251" w:rsidRDefault="00EE3251">
            <w:pPr>
              <w:keepNext/>
              <w:keepLines/>
              <w:rPr>
                <w:sz w:val="2"/>
              </w:rPr>
            </w:pPr>
          </w:p>
          <w:tbl>
            <w:tblPr>
              <w:tblW w:w="0" w:type="auto"/>
              <w:tblCellMar>
                <w:left w:w="0" w:type="dxa"/>
                <w:right w:w="0" w:type="dxa"/>
              </w:tblCellMar>
              <w:tblLook w:val="04A0"/>
            </w:tblPr>
            <w:tblGrid>
              <w:gridCol w:w="308"/>
              <w:gridCol w:w="5030"/>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allocate </w:t>
                  </w:r>
                  <w:r>
                    <w:rPr>
                      <w:rFonts w:ascii="Arial Unicode MS" w:eastAsia="Arial Unicode MS" w:hAnsi="Arial Unicode MS" w:cs="Arial Unicode MS"/>
                      <w:color w:val="000000"/>
                    </w:rPr>
                    <w:t>depreciation over the life of the project.</w:t>
                  </w:r>
                </w:p>
              </w:tc>
            </w:tr>
          </w:tbl>
          <w:p w:rsidR="00EE3251" w:rsidRDefault="00EE3251">
            <w:pPr>
              <w:keepNext/>
              <w:keepLines/>
              <w:rPr>
                <w:sz w:val="2"/>
              </w:rPr>
            </w:pPr>
          </w:p>
          <w:tbl>
            <w:tblPr>
              <w:tblW w:w="0" w:type="auto"/>
              <w:tblCellMar>
                <w:left w:w="0" w:type="dxa"/>
                <w:right w:w="0" w:type="dxa"/>
              </w:tblCellMar>
              <w:tblLook w:val="04A0"/>
            </w:tblPr>
            <w:tblGrid>
              <w:gridCol w:w="347"/>
              <w:gridCol w:w="8232"/>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allocate the initial investment at its opportunity cost over the life of the project.</w:t>
                  </w:r>
                </w:p>
              </w:tc>
            </w:tr>
          </w:tbl>
          <w:p w:rsidR="00EE3251" w:rsidRDefault="00EE3251">
            <w:pPr>
              <w:keepNext/>
              <w:keepLines/>
              <w:rPr>
                <w:sz w:val="2"/>
              </w:rPr>
            </w:pPr>
          </w:p>
          <w:tbl>
            <w:tblPr>
              <w:tblW w:w="0" w:type="auto"/>
              <w:tblCellMar>
                <w:left w:w="0" w:type="dxa"/>
                <w:right w:w="0" w:type="dxa"/>
              </w:tblCellMar>
              <w:tblLook w:val="04A0"/>
            </w:tblPr>
            <w:tblGrid>
              <w:gridCol w:w="308"/>
              <w:gridCol w:w="5110"/>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determine the contribution margin to fixed costs.</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w:t>
            </w:r>
            <w:r>
              <w:rPr>
                <w:rFonts w:ascii="Arial Unicode MS" w:eastAsia="Arial Unicode MS" w:hAnsi="Arial Unicode MS" w:cs="Arial Unicode MS"/>
                <w:i/>
                <w:color w:val="000000"/>
                <w:sz w:val="16"/>
              </w:rPr>
              <w:t xml:space="preserve">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11.</w:t>
            </w:r>
          </w:p>
        </w:tc>
        <w:tc>
          <w:tcPr>
            <w:tcW w:w="4650" w:type="pct"/>
          </w:tcPr>
          <w:p w:rsidR="00EE3251" w:rsidRDefault="00610B53">
            <w:pPr>
              <w:keepNext/>
              <w:keepLines/>
            </w:pPr>
            <w:r>
              <w:rPr>
                <w:rFonts w:ascii="Arial Unicode MS" w:eastAsia="Arial Unicode MS" w:hAnsi="Arial Unicode MS" w:cs="Arial Unicode MS"/>
                <w:color w:val="000000"/>
              </w:rPr>
              <w:t>The present value break-even point is superior to the accounting break-even point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257"/>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present value break-even is more complicated to calculate.</w:t>
                  </w:r>
                </w:p>
              </w:tc>
            </w:tr>
          </w:tbl>
          <w:p w:rsidR="00EE3251" w:rsidRDefault="00EE3251">
            <w:pPr>
              <w:keepNext/>
              <w:keepLines/>
              <w:rPr>
                <w:sz w:val="2"/>
              </w:rPr>
            </w:pPr>
          </w:p>
          <w:tbl>
            <w:tblPr>
              <w:tblW w:w="0" w:type="auto"/>
              <w:tblCellMar>
                <w:left w:w="0" w:type="dxa"/>
                <w:right w:w="0" w:type="dxa"/>
              </w:tblCellMar>
              <w:tblLook w:val="04A0"/>
            </w:tblPr>
            <w:tblGrid>
              <w:gridCol w:w="334"/>
              <w:gridCol w:w="8819"/>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present value break-even covers the economic opportunity costs of the </w:t>
                  </w:r>
                  <w:r>
                    <w:rPr>
                      <w:rFonts w:ascii="Arial Unicode MS" w:eastAsia="Arial Unicode MS" w:hAnsi="Arial Unicode MS" w:cs="Arial Unicode MS"/>
                      <w:color w:val="000000"/>
                    </w:rPr>
                    <w:t>investment.</w:t>
                  </w:r>
                </w:p>
              </w:tc>
            </w:tr>
          </w:tbl>
          <w:p w:rsidR="00EE3251" w:rsidRDefault="00EE3251">
            <w:pPr>
              <w:keepNext/>
              <w:keepLines/>
              <w:rPr>
                <w:sz w:val="2"/>
              </w:rPr>
            </w:pPr>
          </w:p>
          <w:tbl>
            <w:tblPr>
              <w:tblW w:w="0" w:type="auto"/>
              <w:tblCellMar>
                <w:left w:w="0" w:type="dxa"/>
                <w:right w:w="0" w:type="dxa"/>
              </w:tblCellMar>
              <w:tblLook w:val="04A0"/>
            </w:tblPr>
            <w:tblGrid>
              <w:gridCol w:w="308"/>
              <w:gridCol w:w="6430"/>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present value break-even is the same as sensitivity analysis.</w:t>
                  </w:r>
                </w:p>
              </w:tc>
            </w:tr>
          </w:tbl>
          <w:p w:rsidR="00EE3251" w:rsidRDefault="00EE3251">
            <w:pPr>
              <w:keepNext/>
              <w:keepLines/>
              <w:rPr>
                <w:sz w:val="2"/>
              </w:rPr>
            </w:pPr>
          </w:p>
          <w:tbl>
            <w:tblPr>
              <w:tblW w:w="0" w:type="auto"/>
              <w:tblCellMar>
                <w:left w:w="0" w:type="dxa"/>
                <w:right w:w="0" w:type="dxa"/>
              </w:tblCellMar>
              <w:tblLook w:val="04A0"/>
            </w:tblPr>
            <w:tblGrid>
              <w:gridCol w:w="308"/>
              <w:gridCol w:w="9736"/>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present value break-even covers the fixed costs of production, which the accounting break-even does not.</w:t>
                  </w:r>
                </w:p>
              </w:tc>
            </w:tr>
          </w:tbl>
          <w:p w:rsidR="00EE3251" w:rsidRDefault="00EE3251">
            <w:pPr>
              <w:keepNext/>
              <w:keepLines/>
              <w:rPr>
                <w:sz w:val="2"/>
              </w:rPr>
            </w:pPr>
          </w:p>
          <w:tbl>
            <w:tblPr>
              <w:tblW w:w="0" w:type="auto"/>
              <w:tblCellMar>
                <w:left w:w="0" w:type="dxa"/>
                <w:right w:w="0" w:type="dxa"/>
              </w:tblCellMar>
              <w:tblLook w:val="04A0"/>
            </w:tblPr>
            <w:tblGrid>
              <w:gridCol w:w="308"/>
              <w:gridCol w:w="9736"/>
            </w:tblGrid>
            <w:tr w:rsidR="00EE3251">
              <w:tc>
                <w:tcPr>
                  <w:tcW w:w="308" w:type="dxa"/>
                </w:tcPr>
                <w:p w:rsidR="00EE3251" w:rsidRDefault="00610B5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present value break-even covers the variable costs of </w:t>
                  </w:r>
                  <w:r>
                    <w:rPr>
                      <w:rFonts w:ascii="Arial Unicode MS" w:eastAsia="Arial Unicode MS" w:hAnsi="Arial Unicode MS" w:cs="Arial Unicode MS"/>
                      <w:color w:val="000000"/>
                    </w:rPr>
                    <w:t>production, which the accounting break-even does not.</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12.</w:t>
            </w:r>
          </w:p>
        </w:tc>
        <w:tc>
          <w:tcPr>
            <w:tcW w:w="4650" w:type="pct"/>
          </w:tcPr>
          <w:p w:rsidR="00EE3251" w:rsidRDefault="00610B53">
            <w:pPr>
              <w:keepNext/>
              <w:keepLines/>
            </w:pPr>
            <w:r>
              <w:rPr>
                <w:rFonts w:ascii="Arial Unicode MS" w:eastAsia="Arial Unicode MS" w:hAnsi="Arial Unicode MS" w:cs="Arial Unicode MS"/>
                <w:color w:val="000000"/>
              </w:rPr>
              <w:t>The Mini-Max Company has the following cost information on their new prospective project.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Fixed costs are $200/year. </w:t>
            </w:r>
            <w:r>
              <w:rPr>
                <w:rFonts w:ascii="Arial Unicode MS" w:eastAsia="Arial Unicode MS" w:hAnsi="Arial Unicode MS" w:cs="Arial Unicode MS"/>
                <w:color w:val="000000"/>
              </w:rPr>
              <w:t>(Initial investment is $700)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$3/unit.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$140/year.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$8/unit.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5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Calculate the accounting break-even point.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775"/>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68.00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908"/>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103.03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908"/>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113.33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775"/>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25.00 units/year.</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13.</w:t>
            </w:r>
          </w:p>
        </w:tc>
        <w:tc>
          <w:tcPr>
            <w:tcW w:w="4650" w:type="pct"/>
          </w:tcPr>
          <w:p w:rsidR="00EE3251" w:rsidRDefault="00610B53">
            <w:pPr>
              <w:keepNext/>
              <w:keepLines/>
            </w:pPr>
            <w:r>
              <w:rPr>
                <w:rFonts w:ascii="Arial Unicode MS" w:eastAsia="Arial Unicode MS" w:hAnsi="Arial Unicode MS" w:cs="Arial Unicode MS"/>
                <w:color w:val="000000"/>
              </w:rPr>
              <w:t>The Mini-Max Company has the following cost information on their new prospective project.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Fixed costs are $200/year. (Initial </w:t>
            </w:r>
            <w:r>
              <w:rPr>
                <w:rFonts w:ascii="Arial Unicode MS" w:eastAsia="Arial Unicode MS" w:hAnsi="Arial Unicode MS" w:cs="Arial Unicode MS"/>
                <w:color w:val="000000"/>
              </w:rPr>
              <w:t>investment is $700)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$3/unit.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$140/year.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$8/unit.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3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Calculate the present value break-even point.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75"/>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68.00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908"/>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113.27 units/year.</w:t>
                  </w:r>
                </w:p>
              </w:tc>
            </w:tr>
          </w:tbl>
          <w:p w:rsidR="00EE3251" w:rsidRDefault="00EE3251">
            <w:pPr>
              <w:keepNext/>
              <w:keepLines/>
              <w:rPr>
                <w:sz w:val="2"/>
              </w:rPr>
            </w:pPr>
          </w:p>
          <w:tbl>
            <w:tblPr>
              <w:tblW w:w="0" w:type="auto"/>
              <w:tblCellMar>
                <w:left w:w="0" w:type="dxa"/>
                <w:right w:w="0" w:type="dxa"/>
              </w:tblCellMar>
              <w:tblLook w:val="04A0"/>
            </w:tblPr>
            <w:tblGrid>
              <w:gridCol w:w="347"/>
              <w:gridCol w:w="1775"/>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84.42 </w:t>
                  </w:r>
                  <w:r>
                    <w:rPr>
                      <w:rFonts w:ascii="Arial Unicode MS" w:eastAsia="Arial Unicode MS" w:hAnsi="Arial Unicode MS" w:cs="Arial Unicode MS"/>
                      <w:color w:val="000000"/>
                    </w:rPr>
                    <w:t>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441"/>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75 units/year.</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14.</w:t>
            </w:r>
          </w:p>
        </w:tc>
        <w:tc>
          <w:tcPr>
            <w:tcW w:w="4650" w:type="pct"/>
          </w:tcPr>
          <w:p w:rsidR="00EE3251" w:rsidRDefault="00610B53">
            <w:pPr>
              <w:keepNext/>
              <w:keepLines/>
            </w:pPr>
            <w:r>
              <w:rPr>
                <w:rFonts w:ascii="Arial Unicode MS" w:eastAsia="Arial Unicode MS" w:hAnsi="Arial Unicode MS" w:cs="Arial Unicode MS"/>
                <w:color w:val="000000"/>
              </w:rPr>
              <w:t>From the information below, calculate the accounting break-even point.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Fixed costs are $2000/year. (Initial investment is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Variable </w:t>
            </w:r>
            <w:r>
              <w:rPr>
                <w:rFonts w:ascii="Arial Unicode MS" w:eastAsia="Arial Unicode MS" w:hAnsi="Arial Unicode MS" w:cs="Arial Unicode MS"/>
                <w:color w:val="000000"/>
              </w:rPr>
              <w:t>costs: $6/unit.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$250/year.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$20/unit.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4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41"/>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88 units/year.</w:t>
                  </w:r>
                </w:p>
              </w:tc>
            </w:tr>
          </w:tbl>
          <w:p w:rsidR="00EE3251" w:rsidRDefault="00EE3251">
            <w:pPr>
              <w:keepNext/>
              <w:keepLines/>
              <w:rPr>
                <w:sz w:val="2"/>
              </w:rPr>
            </w:pPr>
          </w:p>
          <w:tbl>
            <w:tblPr>
              <w:tblW w:w="0" w:type="auto"/>
              <w:tblCellMar>
                <w:left w:w="0" w:type="dxa"/>
                <w:right w:w="0" w:type="dxa"/>
              </w:tblCellMar>
              <w:tblLook w:val="04A0"/>
            </w:tblPr>
            <w:tblGrid>
              <w:gridCol w:w="334"/>
              <w:gridCol w:w="1575"/>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161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575"/>
            </w:tblGrid>
            <w:tr w:rsidR="00EE3251">
              <w:tc>
                <w:tcPr>
                  <w:tcW w:w="308" w:type="dxa"/>
                </w:tcPr>
                <w:p w:rsidR="00EE3251" w:rsidRDefault="00610B53">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143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575"/>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100 units/year.</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15.</w:t>
            </w:r>
          </w:p>
        </w:tc>
        <w:tc>
          <w:tcPr>
            <w:tcW w:w="4650" w:type="pct"/>
          </w:tcPr>
          <w:p w:rsidR="00EE3251" w:rsidRDefault="00610B53">
            <w:pPr>
              <w:keepNext/>
              <w:keepLines/>
            </w:pPr>
            <w:r>
              <w:rPr>
                <w:rFonts w:ascii="Arial Unicode MS" w:eastAsia="Arial Unicode MS" w:hAnsi="Arial Unicode MS" w:cs="Arial Unicode MS"/>
                <w:color w:val="000000"/>
              </w:rPr>
              <w:t>Given the following information, calculate the present value break-even point.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Fixed costs: $2000/year. (Initial investment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$6/unit.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$250/year.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$20/unit.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Discount rate: 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w:t>
            </w:r>
            <w:r>
              <w:rPr>
                <w:rFonts w:ascii="Arial Unicode MS" w:eastAsia="Arial Unicode MS" w:hAnsi="Arial Unicode MS" w:cs="Arial Unicode MS"/>
                <w:color w:val="000000"/>
              </w:rPr>
              <w:t xml:space="preserve"> life: 4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575"/>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100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575"/>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143 units/year.</w:t>
                  </w:r>
                </w:p>
              </w:tc>
            </w:tr>
          </w:tbl>
          <w:p w:rsidR="00EE3251" w:rsidRDefault="00EE3251">
            <w:pPr>
              <w:keepNext/>
              <w:keepLines/>
              <w:rPr>
                <w:sz w:val="2"/>
              </w:rPr>
            </w:pPr>
          </w:p>
          <w:tbl>
            <w:tblPr>
              <w:tblW w:w="0" w:type="auto"/>
              <w:tblCellMar>
                <w:left w:w="0" w:type="dxa"/>
                <w:right w:w="0" w:type="dxa"/>
              </w:tblCellMar>
              <w:tblLook w:val="04A0"/>
            </w:tblPr>
            <w:tblGrid>
              <w:gridCol w:w="347"/>
              <w:gridCol w:w="1575"/>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202 units/year.</w:t>
                  </w:r>
                </w:p>
              </w:tc>
            </w:tr>
          </w:tbl>
          <w:p w:rsidR="00EE3251" w:rsidRDefault="00EE3251">
            <w:pPr>
              <w:keepNext/>
              <w:keepLines/>
              <w:rPr>
                <w:sz w:val="2"/>
              </w:rPr>
            </w:pPr>
          </w:p>
          <w:tbl>
            <w:tblPr>
              <w:tblW w:w="0" w:type="auto"/>
              <w:tblCellMar>
                <w:left w:w="0" w:type="dxa"/>
                <w:right w:w="0" w:type="dxa"/>
              </w:tblCellMar>
              <w:tblLook w:val="04A0"/>
            </w:tblPr>
            <w:tblGrid>
              <w:gridCol w:w="308"/>
              <w:gridCol w:w="1575"/>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286 units/year.</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16.</w:t>
            </w:r>
          </w:p>
        </w:tc>
        <w:tc>
          <w:tcPr>
            <w:tcW w:w="4650" w:type="pct"/>
          </w:tcPr>
          <w:p w:rsidR="00EE3251" w:rsidRDefault="00610B53">
            <w:pPr>
              <w:keepNext/>
              <w:keepLines/>
            </w:pPr>
            <w:r>
              <w:rPr>
                <w:rFonts w:ascii="Arial Unicode MS" w:eastAsia="Arial Unicode MS" w:hAnsi="Arial Unicode MS" w:cs="Arial Unicode MS"/>
                <w:color w:val="000000"/>
              </w:rPr>
              <w:t>Including the option to expand in your project analysis</w:t>
            </w:r>
            <w:r>
              <w:rPr>
                <w:rFonts w:ascii="Arial Unicode MS" w:eastAsia="Arial Unicode MS" w:hAnsi="Arial Unicode MS" w:cs="Arial Unicode MS"/>
                <w:color w:val="000000"/>
              </w:rPr>
              <w:t xml:space="preserve"> will tend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91"/>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extend the duration of a project but not affect the project's net present value.</w:t>
                  </w:r>
                </w:p>
              </w:tc>
            </w:tr>
          </w:tbl>
          <w:p w:rsidR="00EE3251" w:rsidRDefault="00EE3251">
            <w:pPr>
              <w:keepNext/>
              <w:keepLines/>
              <w:rPr>
                <w:sz w:val="2"/>
              </w:rPr>
            </w:pPr>
          </w:p>
          <w:tbl>
            <w:tblPr>
              <w:tblW w:w="0" w:type="auto"/>
              <w:tblCellMar>
                <w:left w:w="0" w:type="dxa"/>
                <w:right w:w="0" w:type="dxa"/>
              </w:tblCellMar>
              <w:tblLook w:val="04A0"/>
            </w:tblPr>
            <w:tblGrid>
              <w:gridCol w:w="308"/>
              <w:gridCol w:w="4537"/>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increase the net present value of a project.</w:t>
                  </w:r>
                </w:p>
              </w:tc>
            </w:tr>
          </w:tbl>
          <w:p w:rsidR="00EE3251" w:rsidRDefault="00EE3251">
            <w:pPr>
              <w:keepNext/>
              <w:keepLines/>
              <w:rPr>
                <w:sz w:val="2"/>
              </w:rPr>
            </w:pPr>
          </w:p>
          <w:tbl>
            <w:tblPr>
              <w:tblW w:w="0" w:type="auto"/>
              <w:tblCellMar>
                <w:left w:w="0" w:type="dxa"/>
                <w:right w:w="0" w:type="dxa"/>
              </w:tblCellMar>
              <w:tblLook w:val="04A0"/>
            </w:tblPr>
            <w:tblGrid>
              <w:gridCol w:w="347"/>
              <w:gridCol w:w="4617"/>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decrease the net present value of a project.</w:t>
                  </w:r>
                </w:p>
              </w:tc>
            </w:tr>
          </w:tbl>
          <w:p w:rsidR="00EE3251" w:rsidRDefault="00EE3251">
            <w:pPr>
              <w:keepNext/>
              <w:keepLines/>
              <w:rPr>
                <w:sz w:val="2"/>
              </w:rPr>
            </w:pPr>
          </w:p>
          <w:tbl>
            <w:tblPr>
              <w:tblW w:w="0" w:type="auto"/>
              <w:tblCellMar>
                <w:left w:w="0" w:type="dxa"/>
                <w:right w:w="0" w:type="dxa"/>
              </w:tblCellMar>
              <w:tblLook w:val="04A0"/>
            </w:tblPr>
            <w:tblGrid>
              <w:gridCol w:w="308"/>
              <w:gridCol w:w="7410"/>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 xml:space="preserve">have no effect on either a project's cash </w:t>
                  </w:r>
                  <w:r>
                    <w:rPr>
                      <w:rFonts w:ascii="Arial Unicode MS" w:eastAsia="Arial Unicode MS" w:hAnsi="Arial Unicode MS" w:cs="Arial Unicode MS"/>
                      <w:color w:val="000000"/>
                    </w:rPr>
                    <w:t>flows or its net present value.</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17.</w:t>
            </w:r>
          </w:p>
        </w:tc>
        <w:tc>
          <w:tcPr>
            <w:tcW w:w="4650" w:type="pct"/>
          </w:tcPr>
          <w:p w:rsidR="00EE3251" w:rsidRDefault="00610B53">
            <w:pPr>
              <w:keepNext/>
              <w:keepLines/>
            </w:pPr>
            <w:r>
              <w:rPr>
                <w:rFonts w:ascii="Arial Unicode MS" w:eastAsia="Arial Unicode MS" w:hAnsi="Arial Unicode MS" w:cs="Arial Unicode MS"/>
                <w:color w:val="000000"/>
              </w:rPr>
              <w:t>All else equal, the contribution margin must increase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871"/>
            </w:tblGrid>
            <w:tr w:rsidR="00EE3251">
              <w:tc>
                <w:tcPr>
                  <w:tcW w:w="308" w:type="dxa"/>
                </w:tcPr>
                <w:p w:rsidR="00EE3251" w:rsidRDefault="00610B53">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both the sales price and variable cost per unit increase.</w:t>
                  </w:r>
                </w:p>
              </w:tc>
            </w:tr>
          </w:tbl>
          <w:p w:rsidR="00EE3251" w:rsidRDefault="00EE3251">
            <w:pPr>
              <w:keepNext/>
              <w:keepLines/>
              <w:rPr>
                <w:sz w:val="2"/>
              </w:rPr>
            </w:pPr>
          </w:p>
          <w:tbl>
            <w:tblPr>
              <w:tblW w:w="0" w:type="auto"/>
              <w:tblCellMar>
                <w:left w:w="0" w:type="dxa"/>
                <w:right w:w="0" w:type="dxa"/>
              </w:tblCellMar>
              <w:tblLook w:val="04A0"/>
            </w:tblPr>
            <w:tblGrid>
              <w:gridCol w:w="308"/>
              <w:gridCol w:w="3296"/>
            </w:tblGrid>
            <w:tr w:rsidR="00EE3251">
              <w:tc>
                <w:tcPr>
                  <w:tcW w:w="308" w:type="dxa"/>
                </w:tcPr>
                <w:p w:rsidR="00EE3251" w:rsidRDefault="00610B53">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the fixed cost</w:t>
                  </w:r>
                  <w:r>
                    <w:rPr>
                      <w:rFonts w:ascii="Arial Unicode MS" w:eastAsia="Arial Unicode MS" w:hAnsi="Arial Unicode MS" w:cs="Arial Unicode MS"/>
                      <w:color w:val="000000"/>
                    </w:rPr>
                    <w:t xml:space="preserve"> per unit declines.</w:t>
                  </w:r>
                </w:p>
              </w:tc>
            </w:tr>
          </w:tbl>
          <w:p w:rsidR="00EE3251" w:rsidRDefault="00EE3251">
            <w:pPr>
              <w:keepNext/>
              <w:keepLines/>
              <w:rPr>
                <w:sz w:val="2"/>
              </w:rPr>
            </w:pPr>
          </w:p>
          <w:tbl>
            <w:tblPr>
              <w:tblW w:w="0" w:type="auto"/>
              <w:tblCellMar>
                <w:left w:w="0" w:type="dxa"/>
                <w:right w:w="0" w:type="dxa"/>
              </w:tblCellMar>
              <w:tblLook w:val="04A0"/>
            </w:tblPr>
            <w:tblGrid>
              <w:gridCol w:w="347"/>
              <w:gridCol w:w="3629"/>
            </w:tblGrid>
            <w:tr w:rsidR="00EE3251">
              <w:tc>
                <w:tcPr>
                  <w:tcW w:w="308" w:type="dxa"/>
                </w:tcPr>
                <w:p w:rsidR="00EE3251" w:rsidRDefault="00610B53">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the variable cost per unit declines.</w:t>
                  </w:r>
                </w:p>
              </w:tc>
            </w:tr>
          </w:tbl>
          <w:p w:rsidR="00EE3251" w:rsidRDefault="00EE3251">
            <w:pPr>
              <w:keepNext/>
              <w:keepLines/>
              <w:rPr>
                <w:sz w:val="2"/>
              </w:rPr>
            </w:pPr>
          </w:p>
          <w:tbl>
            <w:tblPr>
              <w:tblW w:w="0" w:type="auto"/>
              <w:tblCellMar>
                <w:left w:w="0" w:type="dxa"/>
                <w:right w:w="0" w:type="dxa"/>
              </w:tblCellMar>
              <w:tblLook w:val="04A0"/>
            </w:tblPr>
            <w:tblGrid>
              <w:gridCol w:w="308"/>
              <w:gridCol w:w="3029"/>
            </w:tblGrid>
            <w:tr w:rsidR="00EE3251">
              <w:tc>
                <w:tcPr>
                  <w:tcW w:w="308" w:type="dxa"/>
                </w:tcPr>
                <w:p w:rsidR="00EE3251" w:rsidRDefault="00610B53">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sales price per unit declines.</w:t>
                  </w:r>
                </w:p>
              </w:tc>
            </w:tr>
          </w:tbl>
          <w:p w:rsidR="00EE3251" w:rsidRDefault="00EE3251">
            <w:pPr>
              <w:keepNext/>
              <w:keepLines/>
              <w:rPr>
                <w:sz w:val="2"/>
              </w:rPr>
            </w:pPr>
          </w:p>
          <w:tbl>
            <w:tblPr>
              <w:tblW w:w="0" w:type="auto"/>
              <w:tblCellMar>
                <w:left w:w="0" w:type="dxa"/>
                <w:right w:w="0" w:type="dxa"/>
              </w:tblCellMar>
              <w:tblLook w:val="04A0"/>
            </w:tblPr>
            <w:tblGrid>
              <w:gridCol w:w="308"/>
              <w:gridCol w:w="5763"/>
            </w:tblGrid>
            <w:tr w:rsidR="00EE3251">
              <w:tc>
                <w:tcPr>
                  <w:tcW w:w="308" w:type="dxa"/>
                </w:tcPr>
                <w:p w:rsidR="00EE3251" w:rsidRDefault="00610B53">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EE3251" w:rsidRDefault="00610B53">
                  <w:pPr>
                    <w:keepNext/>
                    <w:keepLines/>
                  </w:pPr>
                  <w:r>
                    <w:rPr>
                      <w:rFonts w:ascii="Arial Unicode MS" w:eastAsia="Arial Unicode MS" w:hAnsi="Arial Unicode MS" w:cs="Arial Unicode MS"/>
                      <w:color w:val="000000"/>
                    </w:rPr>
                    <w:t>the sales price minus the fixed cost per unit increases.</w:t>
                  </w:r>
                </w:p>
              </w:tc>
            </w:tr>
          </w:tbl>
          <w:p w:rsidR="00EE3251" w:rsidRDefault="00EE3251"/>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18.</w:t>
            </w:r>
          </w:p>
        </w:tc>
        <w:tc>
          <w:tcPr>
            <w:tcW w:w="4650" w:type="pct"/>
          </w:tcPr>
          <w:p w:rsidR="00EE3251" w:rsidRDefault="00610B53">
            <w:pPr>
              <w:keepNext/>
              <w:keepLines/>
            </w:pPr>
            <w:r>
              <w:rPr>
                <w:rFonts w:ascii="Arial Unicode MS" w:eastAsia="Arial Unicode MS" w:hAnsi="Arial Unicode MS" w:cs="Arial Unicode MS"/>
                <w:color w:val="000000"/>
              </w:rPr>
              <w:t xml:space="preserve">The Marx </w:t>
            </w:r>
            <w:r>
              <w:rPr>
                <w:rFonts w:ascii="Arial Unicode MS" w:eastAsia="Arial Unicode MS" w:hAnsi="Arial Unicode MS" w:cs="Arial Unicode MS"/>
                <w:color w:val="000000"/>
              </w:rPr>
              <w:t>Brewing Company recently installed a new bottling machine. The machine's initial cost is $2,000, and can be depreciated on a straight line basis to a zero salvage in 5 years. The machine's per year fixed cost is $1,800, and its variable cost is $0.50 per u</w:t>
            </w:r>
            <w:r>
              <w:rPr>
                <w:rFonts w:ascii="Arial Unicode MS" w:eastAsia="Arial Unicode MS" w:hAnsi="Arial Unicode MS" w:cs="Arial Unicode MS"/>
                <w:color w:val="000000"/>
              </w:rPr>
              <w:t>nit. The selling price per unit is $1.50. Marx's tax rate is 34%, and it uses a 16% discount rate. Calculate the accounting break-even point on the new machine, as well as the present value break-even point on the new machine.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319" w:after="319"/>
            </w:pPr>
            <w:r>
              <w:rPr>
                <w:rFonts w:ascii="Arial Unicode MS" w:eastAsia="Arial Unicode MS" w:hAnsi="Arial Unicode MS" w:cs="Arial Unicode MS"/>
                <w:color w:val="000000"/>
              </w:rPr>
              <w:t>Accounting break-even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($1,800 + $400)/($1.50-$0.5)(1-.34) = 2,200 units.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Present value break-even 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$610.81 + $1,800(1-.34)-$400(.34)/($1)(1-.34) = 2,519 units.</w:t>
            </w:r>
          </w:p>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19.</w:t>
            </w:r>
          </w:p>
        </w:tc>
        <w:tc>
          <w:tcPr>
            <w:tcW w:w="4650" w:type="pct"/>
          </w:tcPr>
          <w:p w:rsidR="00EE3251" w:rsidRDefault="00610B53">
            <w:pPr>
              <w:keepNext/>
              <w:keepLines/>
            </w:pPr>
            <w:r>
              <w:rPr>
                <w:rFonts w:ascii="Arial Unicode MS" w:eastAsia="Arial Unicode MS" w:hAnsi="Arial Unicode MS" w:cs="Arial Unicode MS"/>
                <w:color w:val="000000"/>
              </w:rPr>
              <w:t xml:space="preserve">The Marx Brewing Company recently </w:t>
            </w:r>
            <w:r>
              <w:rPr>
                <w:rFonts w:ascii="Arial Unicode MS" w:eastAsia="Arial Unicode MS" w:hAnsi="Arial Unicode MS" w:cs="Arial Unicode MS"/>
                <w:color w:val="000000"/>
              </w:rPr>
              <w:t>installed a new bottling machine. The machine's initial cost is $2,000, and can be depreciated on a straight line basis to a zero salvage in 5 years. The machine's per year fixed cost is $1,800, and its variable cost is $0.50 per unit. The selling price pe</w:t>
            </w:r>
            <w:r>
              <w:rPr>
                <w:rFonts w:ascii="Arial Unicode MS" w:eastAsia="Arial Unicode MS" w:hAnsi="Arial Unicode MS" w:cs="Arial Unicode MS"/>
                <w:color w:val="000000"/>
              </w:rPr>
              <w:t>r unit is $1.50. Marx's tax rate is 34%, and it uses a 16% discount rate. If Marx sells 2500 units what is the accounting profit and contribution margin for Marx Brewing?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3113314" cy="1023257"/>
                  <wp:effectExtent l="0" t="0" r="0" b="0"/>
                  <wp:docPr id="1" name="https://www.eztestonline.com/rucklidge.j/136628749033611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903361100.tp4?REQUEST=SHOWmedia&amp;media=image001PRINT.png"/>
                          <pic:cNvPicPr/>
                        </pic:nvPicPr>
                        <pic:blipFill>
                          <a:blip r:embed="rId4"/>
                          <a:stretch/>
                        </pic:blipFill>
                        <pic:spPr>
                          <a:xfrm>
                            <a:off x="0" y="0"/>
                            <a:ext cx="3113314" cy="1023257"/>
                          </a:xfrm>
                          <a:prstGeom prst="rect">
                            <a:avLst/>
                          </a:prstGeom>
                        </pic:spPr>
                      </pic:pic>
                    </a:graphicData>
                  </a:graphic>
                </wp:inline>
              </w:drawing>
            </w:r>
            <w:r>
              <w:rPr>
                <w:rFonts w:ascii="Arial Unicode MS" w:eastAsia="Arial Unicode MS" w:hAnsi="Arial Unicode MS" w:cs="Arial Unicode MS"/>
                <w:color w:val="000000"/>
              </w:rPr>
              <w:t> </w:t>
            </w:r>
          </w:p>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20.</w:t>
            </w:r>
          </w:p>
        </w:tc>
        <w:tc>
          <w:tcPr>
            <w:tcW w:w="4650" w:type="pct"/>
          </w:tcPr>
          <w:p w:rsidR="00EE3251" w:rsidRDefault="00610B53">
            <w:pPr>
              <w:keepNext/>
              <w:keepLines/>
            </w:pPr>
            <w:r>
              <w:rPr>
                <w:rFonts w:ascii="Arial Unicode MS" w:eastAsia="Arial Unicode MS" w:hAnsi="Arial Unicode MS" w:cs="Arial Unicode MS"/>
                <w:color w:val="000000"/>
              </w:rPr>
              <w:t>From the information below, calculate the impact of discount rate changes on the present-value break-even point. Fixed costs are $2500/year. (Initial investment is $2000.)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 costs: $8/unit.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Depreciation: $500/year.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Price: $25/unit.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Initial Discount</w:t>
            </w:r>
            <w:r>
              <w:rPr>
                <w:rFonts w:ascii="Arial Unicode MS" w:eastAsia="Arial Unicode MS" w:hAnsi="Arial Unicode MS" w:cs="Arial Unicode MS"/>
                <w:color w:val="000000"/>
              </w:rPr>
              <w:t xml:space="preserve"> rate: 10%.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Project life: 4 years.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Tax rate: 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If the discount rate were 15% and 5% what would be the present-value break-even points. How sensitive is the break-even to the discount rate change (show your results).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319" w:after="319"/>
            </w:pPr>
            <w:r>
              <w:rPr>
                <w:rFonts w:ascii="Arial Unicode MS" w:eastAsia="Arial Unicode MS" w:hAnsi="Arial Unicode MS" w:cs="Arial Unicode MS"/>
                <w:color w:val="000000"/>
              </w:rPr>
              <w:t>PV Break-even (10%) = 630.94 + (2</w:t>
            </w:r>
            <w:r>
              <w:rPr>
                <w:rFonts w:ascii="Arial Unicode MS" w:eastAsia="Arial Unicode MS" w:hAnsi="Arial Unicode MS" w:cs="Arial Unicode MS"/>
                <w:color w:val="000000"/>
              </w:rPr>
              <w:t>500(.66)-500(.34))/(25-8)(.66)</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188.14 (EAC @ 10% = 630.94).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Break-even (15%) = 700.53 + (2500(.66)-500(.34))/(25-8)(.66) = 194.34.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Break-even (5%) = 564.02 + (2500(.66)-500(.34))/(25-8)(.66) = 182.17.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Not very sensitive; a 50% increase or decrease </w:t>
            </w:r>
            <w:r>
              <w:rPr>
                <w:rFonts w:ascii="Arial Unicode MS" w:eastAsia="Arial Unicode MS" w:hAnsi="Arial Unicode MS" w:cs="Arial Unicode MS"/>
                <w:color w:val="000000"/>
              </w:rPr>
              <w:t>in the discount rate causes only a 3.3% increase in break-even units or a 3.2% decrease in break-even units necessary respectively.</w:t>
            </w:r>
          </w:p>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21.</w:t>
            </w:r>
          </w:p>
        </w:tc>
        <w:tc>
          <w:tcPr>
            <w:tcW w:w="4650" w:type="pct"/>
          </w:tcPr>
          <w:p w:rsidR="00EE3251" w:rsidRDefault="00610B53">
            <w:pPr>
              <w:keepNext/>
              <w:keepLines/>
            </w:pPr>
            <w:r>
              <w:rPr>
                <w:rFonts w:ascii="Arial Unicode MS" w:eastAsia="Arial Unicode MS" w:hAnsi="Arial Unicode MS" w:cs="Arial Unicode MS"/>
                <w:color w:val="000000"/>
              </w:rPr>
              <w:t>Your company has a new project to be considered.</w:t>
            </w:r>
            <w:r>
              <w:rPr>
                <w:rFonts w:ascii="Arial Unicode MS" w:eastAsia="Arial Unicode MS" w:hAnsi="Arial Unicode MS" w:cs="Arial Unicode MS"/>
                <w:color w:val="000000"/>
              </w:rPr>
              <w:t xml:space="preserve"> You are given the following information on the best guess of related outcomes for the project. The cost of developing and market testing the product over the next year is $225 million. If the test is successful, which has a 65% chance, the company will sp</w:t>
            </w:r>
            <w:r>
              <w:rPr>
                <w:rFonts w:ascii="Arial Unicode MS" w:eastAsia="Arial Unicode MS" w:hAnsi="Arial Unicode MS" w:cs="Arial Unicode MS"/>
                <w:color w:val="000000"/>
              </w:rPr>
              <w:t>end another $800 million to put the productive capabilities in place. The expected cashflows after tax for a successful project are $225 million each year for the next six years with a probability of .8; there is a 20% chance of a zero NPV. If the test fai</w:t>
            </w:r>
            <w:r>
              <w:rPr>
                <w:rFonts w:ascii="Arial Unicode MS" w:eastAsia="Arial Unicode MS" w:hAnsi="Arial Unicode MS" w:cs="Arial Unicode MS"/>
                <w:color w:val="000000"/>
              </w:rPr>
              <w:t xml:space="preserve">ls the cashflows associated with continuing through the sixth year is $125 million per year after tax. The company uses a 12% discount rate for these types of projects. Draw and label the decision tree. Explain what decisions management would make at each </w:t>
            </w:r>
            <w:r>
              <w:rPr>
                <w:rFonts w:ascii="Arial Unicode MS" w:eastAsia="Arial Unicode MS" w:hAnsi="Arial Unicode MS" w:cs="Arial Unicode MS"/>
                <w:color w:val="000000"/>
              </w:rPr>
              <w:t>node upon their realization.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319" w:after="319"/>
            </w:pPr>
            <w:r>
              <w:rPr>
                <w:rFonts w:ascii="Arial Unicode MS" w:eastAsia="Arial Unicode MS" w:hAnsi="Arial Unicode MS" w:cs="Arial Unicode MS"/>
                <w:color w:val="000000"/>
              </w:rPr>
              <w:t>See page 257 for example diagram</w:t>
            </w:r>
          </w:p>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22.</w:t>
            </w:r>
          </w:p>
        </w:tc>
        <w:tc>
          <w:tcPr>
            <w:tcW w:w="4650" w:type="pct"/>
          </w:tcPr>
          <w:p w:rsidR="00EE3251" w:rsidRDefault="00610B53">
            <w:pPr>
              <w:keepNext/>
              <w:keepLines/>
            </w:pPr>
            <w:r>
              <w:rPr>
                <w:rFonts w:ascii="Arial Unicode MS" w:eastAsia="Arial Unicode MS" w:hAnsi="Arial Unicode MS" w:cs="Arial Unicode MS"/>
                <w:color w:val="000000"/>
              </w:rPr>
              <w:t xml:space="preserve">Your company has a new project to be considered. You are given the following information on the best guess of </w:t>
            </w:r>
            <w:r>
              <w:rPr>
                <w:rFonts w:ascii="Arial Unicode MS" w:eastAsia="Arial Unicode MS" w:hAnsi="Arial Unicode MS" w:cs="Arial Unicode MS"/>
                <w:color w:val="000000"/>
              </w:rPr>
              <w:t>related outcomes for the project. The cost of developing and market testing the product over the next year is $225 million. If the test is successful, which is expected to be 65%, the company will spend another $800 million to put the productive capabiliti</w:t>
            </w:r>
            <w:r>
              <w:rPr>
                <w:rFonts w:ascii="Arial Unicode MS" w:eastAsia="Arial Unicode MS" w:hAnsi="Arial Unicode MS" w:cs="Arial Unicode MS"/>
                <w:color w:val="000000"/>
              </w:rPr>
              <w:t>es in place. The expected cashflows after tax for a successful project are $225 million each year for the next six years with a probability of .8; there is a 20% chance of a zero NPV. If the tests fail the cashflows associated with continuing through the s</w:t>
            </w:r>
            <w:r>
              <w:rPr>
                <w:rFonts w:ascii="Arial Unicode MS" w:eastAsia="Arial Unicode MS" w:hAnsi="Arial Unicode MS" w:cs="Arial Unicode MS"/>
                <w:color w:val="000000"/>
              </w:rPr>
              <w:t>ixth year is $125 million per year after tax. The company uses a 12% discount rate for these types of projects. Determine the net present value if the tests are a success. Determine the net present value and the decision to undertake testing or not.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319" w:after="319"/>
            </w:pPr>
            <w:r>
              <w:rPr>
                <w:rFonts w:ascii="Arial Unicode MS" w:eastAsia="Arial Unicode MS" w:hAnsi="Arial Unicode MS" w:cs="Arial Unicode MS"/>
                <w:color w:val="000000"/>
              </w:rPr>
              <w:t>NPV1= Pr[Cost + CFAT*A.12,6] = .65{[-800+(225)4.1114].8+.2(0)} = .65(100.52)=65.34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NPV0= -225 + 65.34/1.12 = -166.66; Do not invest.</w:t>
            </w:r>
          </w:p>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23.</w:t>
            </w:r>
          </w:p>
        </w:tc>
        <w:tc>
          <w:tcPr>
            <w:tcW w:w="4650" w:type="pct"/>
          </w:tcPr>
          <w:p w:rsidR="00EE3251" w:rsidRDefault="00610B53">
            <w:pPr>
              <w:keepNext/>
              <w:keepLines/>
            </w:pPr>
            <w:r>
              <w:rPr>
                <w:rFonts w:ascii="Arial Unicode MS" w:eastAsia="Arial Unicode MS" w:hAnsi="Arial Unicode MS" w:cs="Arial Unicode MS"/>
                <w:color w:val="000000"/>
              </w:rPr>
              <w:t>Sensitivity analysis is a method which allows f</w:t>
            </w:r>
            <w:r>
              <w:rPr>
                <w:rFonts w:ascii="Arial Unicode MS" w:eastAsia="Arial Unicode MS" w:hAnsi="Arial Unicode MS" w:cs="Arial Unicode MS"/>
                <w:color w:val="000000"/>
              </w:rPr>
              <w:t>or evaluation of the NPV given a series of changes to the underlying assumptions. Discuss why and how scenario analysis is used in addition to sensitivity analysis.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319" w:after="319"/>
            </w:pPr>
            <w:r>
              <w:rPr>
                <w:rFonts w:ascii="Arial Unicode MS" w:eastAsia="Arial Unicode MS" w:hAnsi="Arial Unicode MS" w:cs="Arial Unicode MS"/>
                <w:color w:val="000000"/>
              </w:rPr>
              <w:t>Sensitivity analysis: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measures input of changing one input at a time.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variables may cha</w:t>
            </w:r>
            <w:r>
              <w:rPr>
                <w:rFonts w:ascii="Arial Unicode MS" w:eastAsia="Arial Unicode MS" w:hAnsi="Arial Unicode MS" w:cs="Arial Unicode MS"/>
                <w:color w:val="000000"/>
              </w:rPr>
              <w:t>nge simultaneously in reality.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estimates may be overly optimistic or pessimistic.</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Scenario analysis: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 variant of sensitivity analysis.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allows for multiple factor influences.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examines a number of different scenarios.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minimizes the false sense of security </w:t>
            </w:r>
            <w:r>
              <w:rPr>
                <w:rFonts w:ascii="Arial Unicode MS" w:eastAsia="Arial Unicode MS" w:hAnsi="Arial Unicode MS" w:cs="Arial Unicode MS"/>
                <w:color w:val="000000"/>
              </w:rPr>
              <w:t>that may come from sensitivity analysis.</w:t>
            </w:r>
          </w:p>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EE3251">
      <w:pPr>
        <w:keepNext/>
        <w:keepLines/>
        <w:rPr>
          <w:sz w:val="2"/>
        </w:rPr>
      </w:pPr>
    </w:p>
    <w:tbl>
      <w:tblPr>
        <w:tblW w:w="5000" w:type="pct"/>
        <w:tblCellMar>
          <w:left w:w="0" w:type="dxa"/>
          <w:right w:w="0" w:type="dxa"/>
        </w:tblCellMar>
        <w:tblLook w:val="04A0"/>
      </w:tblPr>
      <w:tblGrid>
        <w:gridCol w:w="756"/>
        <w:gridCol w:w="10044"/>
      </w:tblGrid>
      <w:tr w:rsidR="00EE3251">
        <w:tc>
          <w:tcPr>
            <w:tcW w:w="350" w:type="pct"/>
          </w:tcPr>
          <w:p w:rsidR="00EE3251" w:rsidRDefault="00610B53">
            <w:pPr>
              <w:keepNext/>
              <w:keepLines/>
            </w:pPr>
            <w:r>
              <w:rPr>
                <w:rFonts w:ascii="Arial Unicode MS" w:eastAsia="Arial Unicode MS" w:hAnsi="Arial Unicode MS" w:cs="Arial Unicode MS"/>
                <w:color w:val="000000"/>
              </w:rPr>
              <w:t>24.</w:t>
            </w:r>
          </w:p>
        </w:tc>
        <w:tc>
          <w:tcPr>
            <w:tcW w:w="4650" w:type="pct"/>
          </w:tcPr>
          <w:p w:rsidR="00EE3251" w:rsidRDefault="00610B53">
            <w:pPr>
              <w:keepNext/>
              <w:keepLines/>
            </w:pPr>
            <w:r>
              <w:rPr>
                <w:rFonts w:ascii="Arial Unicode MS" w:eastAsia="Arial Unicode MS" w:hAnsi="Arial Unicode MS" w:cs="Arial Unicode MS"/>
                <w:color w:val="000000"/>
              </w:rPr>
              <w:t xml:space="preserve">The market value of an investment project should be viewed as the sum of the standard NPV and the value of managerial options. Explain </w:t>
            </w:r>
            <w:r>
              <w:rPr>
                <w:rFonts w:ascii="Arial Unicode MS" w:eastAsia="Arial Unicode MS" w:hAnsi="Arial Unicode MS" w:cs="Arial Unicode MS"/>
                <w:color w:val="000000"/>
              </w:rPr>
              <w:t>two different options that management may have, what they are, and how they would influence market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EE3251" w:rsidRDefault="00610B53">
            <w:pPr>
              <w:keepNext/>
              <w:keepLines/>
              <w:spacing w:before="319" w:after="319"/>
            </w:pPr>
            <w:r>
              <w:rPr>
                <w:rFonts w:ascii="Arial Unicode MS" w:eastAsia="Arial Unicode MS" w:hAnsi="Arial Unicode MS" w:cs="Arial Unicode MS"/>
                <w:color w:val="000000"/>
              </w:rPr>
              <w:t>To expand project -- favorable market reaction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Contract business -- under conditions of poor demand, etc.</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Abandonment, equipment replacement, open</w:t>
            </w:r>
            <w:r>
              <w:rPr>
                <w:rFonts w:ascii="Arial Unicode MS" w:eastAsia="Arial Unicode MS" w:hAnsi="Arial Unicode MS" w:cs="Arial Unicode MS"/>
                <w:color w:val="000000"/>
              </w:rPr>
              <w:t>ing and closing facilities.</w:t>
            </w:r>
          </w:p>
        </w:tc>
      </w:tr>
    </w:tbl>
    <w:p w:rsidR="00EE3251" w:rsidRDefault="00610B53">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EE3251">
        <w:tc>
          <w:tcPr>
            <w:tcW w:w="0" w:type="auto"/>
          </w:tcPr>
          <w:p w:rsidR="00EE3251" w:rsidRDefault="00610B53">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09-04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09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EE3251" w:rsidRDefault="00610B53">
      <w:pPr>
        <w:spacing w:before="239" w:after="239"/>
        <w:sectPr w:rsidR="00EE3251">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EE3251" w:rsidRDefault="00610B53">
      <w:pPr>
        <w:spacing w:before="532"/>
        <w:jc w:val="center"/>
      </w:pPr>
      <w:r>
        <w:rPr>
          <w:rFonts w:ascii="Arial Unicode MS" w:eastAsia="Arial Unicode MS" w:hAnsi="Arial Unicode MS" w:cs="Arial Unicode MS"/>
          <w:color w:val="000000"/>
          <w:sz w:val="40"/>
        </w:rPr>
        <w:t xml:space="preserve">9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EE3251">
        <w:trPr>
          <w:jc w:val="center"/>
        </w:trPr>
        <w:tc>
          <w:tcPr>
            <w:tcW w:w="0" w:type="auto"/>
          </w:tcPr>
          <w:p w:rsidR="00EE3251" w:rsidRDefault="00610B53">
            <w:pPr>
              <w:jc w:val="center"/>
            </w:pPr>
            <w:r>
              <w:rPr>
                <w:rFonts w:ascii="Arial Unicode MS" w:eastAsia="Arial Unicode MS" w:hAnsi="Arial Unicode MS" w:cs="Arial Unicode MS"/>
                <w:i/>
                <w:color w:val="000000"/>
                <w:sz w:val="18"/>
                <w:u w:val="single"/>
              </w:rPr>
              <w:t>Category</w:t>
            </w:r>
          </w:p>
        </w:tc>
        <w:tc>
          <w:tcPr>
            <w:tcW w:w="0" w:type="auto"/>
          </w:tcPr>
          <w:p w:rsidR="00EE3251" w:rsidRDefault="00610B53">
            <w:pPr>
              <w:jc w:val="center"/>
            </w:pPr>
            <w:r>
              <w:rPr>
                <w:rFonts w:ascii="Arial Unicode MS" w:eastAsia="Arial Unicode MS" w:hAnsi="Arial Unicode MS" w:cs="Arial Unicode MS"/>
                <w:i/>
                <w:color w:val="000000"/>
                <w:sz w:val="18"/>
                <w:u w:val="single"/>
              </w:rPr>
              <w:t># of Questions</w:t>
            </w:r>
          </w:p>
        </w:tc>
      </w:tr>
      <w:tr w:rsidR="00EE3251">
        <w:trPr>
          <w:jc w:val="center"/>
        </w:trPr>
        <w:tc>
          <w:tcPr>
            <w:tcW w:w="4000" w:type="pct"/>
          </w:tcPr>
          <w:p w:rsidR="00EE3251" w:rsidRDefault="00610B53">
            <w:r>
              <w:rPr>
                <w:rFonts w:ascii="Arial Unicode MS" w:eastAsia="Arial Unicode MS" w:hAnsi="Arial Unicode MS" w:cs="Arial Unicode MS"/>
                <w:color w:val="000000"/>
                <w:sz w:val="18"/>
              </w:rPr>
              <w:t>Difficulty: Easy</w:t>
            </w:r>
          </w:p>
        </w:tc>
        <w:tc>
          <w:tcPr>
            <w:tcW w:w="1000" w:type="pct"/>
          </w:tcPr>
          <w:p w:rsidR="00EE3251" w:rsidRDefault="00610B53">
            <w:pPr>
              <w:jc w:val="center"/>
            </w:pPr>
            <w:r>
              <w:rPr>
                <w:rFonts w:ascii="Arial Unicode MS" w:eastAsia="Arial Unicode MS" w:hAnsi="Arial Unicode MS" w:cs="Arial Unicode MS"/>
                <w:color w:val="000000"/>
                <w:sz w:val="18"/>
              </w:rPr>
              <w:t>5</w:t>
            </w:r>
          </w:p>
        </w:tc>
      </w:tr>
      <w:tr w:rsidR="00EE3251">
        <w:trPr>
          <w:jc w:val="center"/>
        </w:trPr>
        <w:tc>
          <w:tcPr>
            <w:tcW w:w="4000" w:type="pct"/>
          </w:tcPr>
          <w:p w:rsidR="00EE3251" w:rsidRDefault="00610B53">
            <w:r>
              <w:rPr>
                <w:rFonts w:ascii="Arial Unicode MS" w:eastAsia="Arial Unicode MS" w:hAnsi="Arial Unicode MS" w:cs="Arial Unicode MS"/>
                <w:color w:val="000000"/>
                <w:sz w:val="18"/>
              </w:rPr>
              <w:t>Difficulty: Hard</w:t>
            </w:r>
          </w:p>
        </w:tc>
        <w:tc>
          <w:tcPr>
            <w:tcW w:w="1000" w:type="pct"/>
          </w:tcPr>
          <w:p w:rsidR="00EE3251" w:rsidRDefault="00610B53">
            <w:pPr>
              <w:jc w:val="center"/>
            </w:pPr>
            <w:r>
              <w:rPr>
                <w:rFonts w:ascii="Arial Unicode MS" w:eastAsia="Arial Unicode MS" w:hAnsi="Arial Unicode MS" w:cs="Arial Unicode MS"/>
                <w:color w:val="000000"/>
                <w:sz w:val="18"/>
              </w:rPr>
              <w:t>6</w:t>
            </w:r>
          </w:p>
        </w:tc>
      </w:tr>
      <w:tr w:rsidR="00EE3251">
        <w:trPr>
          <w:jc w:val="center"/>
        </w:trPr>
        <w:tc>
          <w:tcPr>
            <w:tcW w:w="4000" w:type="pct"/>
          </w:tcPr>
          <w:p w:rsidR="00EE3251" w:rsidRDefault="00610B53">
            <w:r>
              <w:rPr>
                <w:rFonts w:ascii="Arial Unicode MS" w:eastAsia="Arial Unicode MS" w:hAnsi="Arial Unicode MS" w:cs="Arial Unicode MS"/>
                <w:color w:val="000000"/>
                <w:sz w:val="18"/>
              </w:rPr>
              <w:t>Difficulty: Medium</w:t>
            </w:r>
          </w:p>
        </w:tc>
        <w:tc>
          <w:tcPr>
            <w:tcW w:w="1000" w:type="pct"/>
          </w:tcPr>
          <w:p w:rsidR="00EE3251" w:rsidRDefault="00610B53">
            <w:pPr>
              <w:jc w:val="center"/>
            </w:pPr>
            <w:r>
              <w:rPr>
                <w:rFonts w:ascii="Arial Unicode MS" w:eastAsia="Arial Unicode MS" w:hAnsi="Arial Unicode MS" w:cs="Arial Unicode MS"/>
                <w:color w:val="000000"/>
                <w:sz w:val="18"/>
              </w:rPr>
              <w:t>13</w:t>
            </w:r>
          </w:p>
        </w:tc>
      </w:tr>
      <w:tr w:rsidR="00EE3251">
        <w:trPr>
          <w:jc w:val="center"/>
        </w:trPr>
        <w:tc>
          <w:tcPr>
            <w:tcW w:w="4000" w:type="pct"/>
          </w:tcPr>
          <w:p w:rsidR="00EE3251" w:rsidRDefault="00610B53">
            <w:r>
              <w:rPr>
                <w:rFonts w:ascii="Arial Unicode MS" w:eastAsia="Arial Unicode MS" w:hAnsi="Arial Unicode MS" w:cs="Arial Unicode MS"/>
                <w:color w:val="000000"/>
                <w:sz w:val="18"/>
              </w:rPr>
              <w:t>Learning Objective: 09-01</w:t>
            </w:r>
          </w:p>
        </w:tc>
        <w:tc>
          <w:tcPr>
            <w:tcW w:w="1000" w:type="pct"/>
          </w:tcPr>
          <w:p w:rsidR="00EE3251" w:rsidRDefault="00610B53">
            <w:pPr>
              <w:jc w:val="center"/>
            </w:pPr>
            <w:r>
              <w:rPr>
                <w:rFonts w:ascii="Arial Unicode MS" w:eastAsia="Arial Unicode MS" w:hAnsi="Arial Unicode MS" w:cs="Arial Unicode MS"/>
                <w:color w:val="000000"/>
                <w:sz w:val="18"/>
              </w:rPr>
              <w:t>3</w:t>
            </w:r>
          </w:p>
        </w:tc>
      </w:tr>
      <w:tr w:rsidR="00EE3251">
        <w:trPr>
          <w:jc w:val="center"/>
        </w:trPr>
        <w:tc>
          <w:tcPr>
            <w:tcW w:w="4000" w:type="pct"/>
          </w:tcPr>
          <w:p w:rsidR="00EE3251" w:rsidRDefault="00610B53">
            <w:r>
              <w:rPr>
                <w:rFonts w:ascii="Arial Unicode MS" w:eastAsia="Arial Unicode MS" w:hAnsi="Arial Unicode MS" w:cs="Arial Unicode MS"/>
                <w:color w:val="000000"/>
                <w:sz w:val="18"/>
              </w:rPr>
              <w:t>Learning Objective: 09-02</w:t>
            </w:r>
          </w:p>
        </w:tc>
        <w:tc>
          <w:tcPr>
            <w:tcW w:w="1000" w:type="pct"/>
          </w:tcPr>
          <w:p w:rsidR="00EE3251" w:rsidRDefault="00610B53">
            <w:pPr>
              <w:jc w:val="center"/>
            </w:pPr>
            <w:r>
              <w:rPr>
                <w:rFonts w:ascii="Arial Unicode MS" w:eastAsia="Arial Unicode MS" w:hAnsi="Arial Unicode MS" w:cs="Arial Unicode MS"/>
                <w:color w:val="000000"/>
                <w:sz w:val="18"/>
              </w:rPr>
              <w:t>17</w:t>
            </w:r>
          </w:p>
        </w:tc>
      </w:tr>
      <w:tr w:rsidR="00EE3251">
        <w:trPr>
          <w:jc w:val="center"/>
        </w:trPr>
        <w:tc>
          <w:tcPr>
            <w:tcW w:w="4000" w:type="pct"/>
          </w:tcPr>
          <w:p w:rsidR="00EE3251" w:rsidRDefault="00610B53">
            <w:r>
              <w:rPr>
                <w:rFonts w:ascii="Arial Unicode MS" w:eastAsia="Arial Unicode MS" w:hAnsi="Arial Unicode MS" w:cs="Arial Unicode MS"/>
                <w:color w:val="000000"/>
                <w:sz w:val="18"/>
              </w:rPr>
              <w:t>Learning Objective: 09-04</w:t>
            </w:r>
          </w:p>
        </w:tc>
        <w:tc>
          <w:tcPr>
            <w:tcW w:w="1000" w:type="pct"/>
          </w:tcPr>
          <w:p w:rsidR="00EE3251" w:rsidRDefault="00610B53">
            <w:pPr>
              <w:jc w:val="center"/>
            </w:pPr>
            <w:r>
              <w:rPr>
                <w:rFonts w:ascii="Arial Unicode MS" w:eastAsia="Arial Unicode MS" w:hAnsi="Arial Unicode MS" w:cs="Arial Unicode MS"/>
                <w:color w:val="000000"/>
                <w:sz w:val="18"/>
              </w:rPr>
              <w:t>4</w:t>
            </w:r>
          </w:p>
        </w:tc>
      </w:tr>
      <w:tr w:rsidR="00EE3251">
        <w:trPr>
          <w:jc w:val="center"/>
        </w:trPr>
        <w:tc>
          <w:tcPr>
            <w:tcW w:w="4000" w:type="pct"/>
          </w:tcPr>
          <w:p w:rsidR="00EE3251" w:rsidRDefault="00610B53">
            <w:r>
              <w:rPr>
                <w:rFonts w:ascii="Arial Unicode MS" w:eastAsia="Arial Unicode MS" w:hAnsi="Arial Unicode MS" w:cs="Arial Unicode MS"/>
                <w:color w:val="000000"/>
                <w:sz w:val="18"/>
              </w:rPr>
              <w:t>Ross - Chapter 09</w:t>
            </w:r>
          </w:p>
        </w:tc>
        <w:tc>
          <w:tcPr>
            <w:tcW w:w="1000" w:type="pct"/>
          </w:tcPr>
          <w:p w:rsidR="00EE3251" w:rsidRDefault="00610B53">
            <w:pPr>
              <w:jc w:val="center"/>
            </w:pPr>
            <w:r>
              <w:rPr>
                <w:rFonts w:ascii="Arial Unicode MS" w:eastAsia="Arial Unicode MS" w:hAnsi="Arial Unicode MS" w:cs="Arial Unicode MS"/>
                <w:color w:val="000000"/>
                <w:sz w:val="18"/>
              </w:rPr>
              <w:t>24</w:t>
            </w:r>
          </w:p>
        </w:tc>
      </w:tr>
    </w:tbl>
    <w:p w:rsidR="00000000" w:rsidRDefault="00610B53"/>
    <w:sectPr w:rsidR="00000000" w:rsidSect="00EE3251">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EE3251"/>
    <w:rsid w:val="00610B53"/>
    <w:rsid w:val="00EE3251"/>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3235</Words>
  <Characters>18440</Characters>
  <Application>Microsoft Macintosh Word</Application>
  <DocSecurity>0</DocSecurity>
  <Lines>153</Lines>
  <Paragraphs>36</Paragraphs>
  <ScaleCrop>false</ScaleCrop>
  <LinksUpToDate>false</LinksUpToDate>
  <CharactersWithSpaces>22645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2013-10-14T06:26:00Z</dcterms:created>
  <dcterms:modified xsi:type="dcterms:W3CDTF">2013-10-14T06:26:00Z</dcterms:modified>
</cp:coreProperties>
</file>